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Mall för underrättelse om avsikt att exkludera tillgångar och/eller riskexponeringsbelopp för dotterbolag till grupper under tillsyn där dessa dotterbolag är etablerade i medlemsstater som inte deltar i SSM</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Enligt artikel 4 i Europeiska centralbankens beslut (EU) 2019/2158 (ECB/2019/38)</w:t>
      </w:r>
      <w:r w:rsidR="006B6013" w:rsidRPr="0017289D">
        <w:rPr>
          <w:rStyle w:val="FootnoteReference"/>
        </w:rPr>
        <w:footnoteReference w:id="1"/>
      </w:r>
      <w:r>
        <w:t xml:space="preserve"> ska avgiftsskyldiga som avser att exkludera tillgångar och/eller riskexponeringsbelopp hos dotterbolag som är etablerade i icke-deltagande medlemsstater och tredjeländer underrätta ECB om sitt beslut senast den 30 september under den avgiftsperiod för vilken avgiften beräknas. För detta ändamål inrättas ett onlineförfarande. Så snart detta är tillgängligt kommer de avgiftsskyldiga att informeras. </w:t>
      </w:r>
    </w:p>
    <w:p w:rsidR="00E17FE6" w:rsidRDefault="00E17FE6" w:rsidP="00990B30">
      <w:pPr>
        <w:pStyle w:val="ECBBodyText"/>
        <w:jc w:val="both"/>
      </w:pPr>
      <w:r>
        <w:t xml:space="preserve">Tills dess kan de avgiftsskyldiga som önskar meddela sin avsikt att exkludera tillgångar och/eller riskexponeringsbelopp för dotterbolag etablerade i medlemsstater som inte deltar i SSM ladda ner anmälningsformuläret, fylla i det och skicka det till </w:t>
      </w:r>
      <w:hyperlink r:id="rId15" w:history="1">
        <w:r>
          <w:rPr>
            <w:rStyle w:val="Hyperlink"/>
          </w:rPr>
          <w:t>SSM-fee-enquiries@ecb.europa.eu</w:t>
        </w:r>
      </w:hyperlink>
      <w:r>
        <w:t>.</w:t>
      </w:r>
    </w:p>
    <w:p w:rsidR="00990B30" w:rsidRDefault="00990B30" w:rsidP="00990B30">
      <w:pPr>
        <w:pStyle w:val="ECBBodyText"/>
        <w:jc w:val="both"/>
      </w:pPr>
      <w:r>
        <w:t>Anmälningsformuläret ska vara ECB tillhanda senast den 30 september under avgiftsperioden så att ECB och de nationella behöriga myndigheterna vet om de kan förvänta sig att erhålla uppgifter om avgiftsfaktorer från gruppen under tillsyn via den separata insamlingsprocess som beskrivs i artikel 3.2 och 3.3 i beslut (EU) 2019/2158 (ECB/2019/38).</w:t>
      </w:r>
    </w:p>
    <w:p w:rsidR="00990B30" w:rsidRPr="0017289D" w:rsidRDefault="00990B30" w:rsidP="00990B30">
      <w:pPr>
        <w:pStyle w:val="ECBBodyText"/>
        <w:jc w:val="both"/>
      </w:pPr>
      <w:r>
        <w:t xml:space="preserve">Om ECB inte erhåller något anmälningsformulär antar ECB att den avgiftsskyldige inte önskar exkludera bidrag från dotterbolag utanför SSM och kommer därför att återanvända tillgängliga </w:t>
      </w:r>
      <w:proofErr w:type="spellStart"/>
      <w:r>
        <w:t>Finrep</w:t>
      </w:r>
      <w:proofErr w:type="spellEnd"/>
      <w:r>
        <w:t xml:space="preserve">- och </w:t>
      </w:r>
      <w:proofErr w:type="spellStart"/>
      <w:r>
        <w:t>Corep</w:t>
      </w:r>
      <w:proofErr w:type="spellEnd"/>
      <w:r>
        <w:t xml:space="preserve">-data för att beräkna tillsynsavgiften. Avgiftsskyldiga har också möjlighet att exkludera bidrag från dotterbolag utanför SSM till att bara omfatta en eller två avgiftsfaktorer. Exempelvis kan en avgiftsskyldig vilja exkludera endast den totala riskexponeringen. I så fall kommer ECB att förvänta sig att erhålla data avseende avgiftsfaktorn för total riskexponering via den separata insamlingsprocessen och återanvända de uppgifter som finns tillgängliga genom </w:t>
      </w:r>
      <w:proofErr w:type="spellStart"/>
      <w:r>
        <w:t>Finrep</w:t>
      </w:r>
      <w:proofErr w:type="spellEnd"/>
      <w:r>
        <w:t xml:space="preserve"> för att fastställa avgiftsfaktorn för sammanlagda tillgångar i enlighet med artikel 3.1 b i beslut (EU) 2019/2158 (ECB/2019/38).</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Mall för underrättelse om avsikt att exkludera tillgångar och/eller riskexponeringsbelopp för dotterbolag utanför SSM</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[Namn på avgiftsskyldig]</w:t>
      </w:r>
    </w:p>
    <w:p w:rsidR="004D487B" w:rsidRPr="0017289D" w:rsidRDefault="00CD15B0" w:rsidP="00512A63">
      <w:pPr>
        <w:pStyle w:val="Default"/>
        <w:rPr>
          <w:rFonts w:ascii="Arial" w:hAnsi="Arial" w:cs="Arial"/>
          <w:sz w:val="20"/>
          <w:szCs w:val="20"/>
        </w:rPr>
      </w:pPr>
      <w:r>
        <w:rPr>
          <w:rFonts w:ascii="Arial" w:hAnsi="Arial"/>
          <w:sz w:val="20"/>
          <w:szCs w:val="20"/>
        </w:rPr>
        <w:t>[Namn på kontaktperson]</w:t>
      </w:r>
    </w:p>
    <w:p w:rsidR="004D487B" w:rsidRPr="0017289D" w:rsidRDefault="00CD15B0" w:rsidP="004D487B">
      <w:pPr>
        <w:pStyle w:val="Default"/>
        <w:rPr>
          <w:rFonts w:ascii="Arial" w:hAnsi="Arial" w:cs="Arial"/>
          <w:sz w:val="20"/>
          <w:szCs w:val="20"/>
        </w:rPr>
      </w:pPr>
      <w:r>
        <w:rPr>
          <w:rFonts w:ascii="Arial" w:hAnsi="Arial"/>
          <w:sz w:val="20"/>
          <w:szCs w:val="20"/>
        </w:rPr>
        <w:t xml:space="preserve">[Avdelning] </w:t>
      </w:r>
    </w:p>
    <w:p w:rsidR="00697773" w:rsidRPr="0017289D" w:rsidRDefault="00697773" w:rsidP="00697773">
      <w:pPr>
        <w:pStyle w:val="Default"/>
        <w:rPr>
          <w:rFonts w:ascii="Arial" w:hAnsi="Arial" w:cs="Arial"/>
          <w:sz w:val="20"/>
          <w:szCs w:val="20"/>
        </w:rPr>
      </w:pPr>
      <w:r>
        <w:rPr>
          <w:rFonts w:ascii="Arial" w:hAnsi="Arial"/>
          <w:sz w:val="20"/>
          <w:szCs w:val="20"/>
        </w:rPr>
        <w:t xml:space="preserve">[Adress och e-post]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Underrättelse om avsikt att exkludera tillgångar och/eller riskexponeringsbelopp för dotterbolag utanför SSM för beräkning av ECB:s tillsynsavgift för YYYY.</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Namn på avgiftsskyldig</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[Namn]</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LEI-kod (ID-kod) för avgiftsskyldig:</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Namn på grupp under tillsyn:</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[Namn]</w:t>
            </w:r>
            <w:bookmarkStart w:id="2" w:name="_Ref35874756"/>
            <w:r>
              <w:rPr>
                <w:rStyle w:val="FootnoteReference"/>
                <w:rFonts w:cs="Arial"/>
                <w:sz w:val="18"/>
                <w:szCs w:val="18"/>
              </w:rPr>
              <w:footnoteReference w:id="2"/>
            </w:r>
            <w:bookmarkEnd w:id="2"/>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LEI-kod</w:t>
            </w:r>
            <w:r w:rsidR="00894AE1">
              <w:rPr>
                <w:rStyle w:val="FootnoteReference"/>
                <w:rFonts w:cs="Arial"/>
                <w:sz w:val="18"/>
                <w:szCs w:val="18"/>
              </w:rPr>
              <w:footnoteReference w:id="3"/>
            </w:r>
            <w:r>
              <w:rPr>
                <w:sz w:val="18"/>
                <w:szCs w:val="18"/>
              </w:rPr>
              <w:t xml:space="preserve"> för grupp under tillsyn:</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Exkludera bidrag från dotterbolag utanför SSM till:</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[Välj ett eller båda alternativ efter vad som är tillämpligt]</w:t>
            </w:r>
          </w:p>
          <w:p w:rsidR="00B10D8F" w:rsidRDefault="00E221E9"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Avgiftsfaktor för total riskexponering</w:t>
            </w:r>
            <w:r w:rsidR="00D76680">
              <w:rPr>
                <w:sz w:val="18"/>
                <w:szCs w:val="18"/>
                <w:u w:val="single"/>
              </w:rPr>
              <w:t xml:space="preserve"> </w:t>
            </w:r>
          </w:p>
          <w:p w:rsidR="00AF0B4A" w:rsidRPr="0017289D" w:rsidRDefault="00E221E9"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Avgiftsfaktor för totala tillgångar</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Datum för inlämning till ECB:</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/mm/</w:t>
            </w:r>
            <w:proofErr w:type="spellStart"/>
            <w:r>
              <w:rPr>
                <w:sz w:val="18"/>
                <w:szCs w:val="18"/>
              </w:rPr>
              <w:t>yyyy</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F90002" w:rsidRPr="00F90002" w:rsidRDefault="00F90002" w:rsidP="00F90002"/>
    <w:p w:rsidR="00F90002" w:rsidRDefault="00F90002" w:rsidP="00F90002"/>
    <w:p w:rsidR="000D530E" w:rsidRPr="00F90002" w:rsidRDefault="00F90002" w:rsidP="00F90002">
      <w:pPr>
        <w:tabs>
          <w:tab w:val="left" w:pos="3851"/>
        </w:tabs>
      </w:pPr>
      <w:r>
        <w:tab/>
      </w: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9" w:rsidRDefault="00E22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Sida </w:t>
    </w:r>
    <w:r>
      <w:fldChar w:fldCharType="begin"/>
    </w:r>
    <w:r>
      <w:instrText xml:space="preserve"> PAGE </w:instrText>
    </w:r>
    <w:r>
      <w:fldChar w:fldCharType="separate"/>
    </w:r>
    <w:r>
      <w:t>1</w:t>
    </w:r>
    <w:r>
      <w:fldChar w:fldCharType="end"/>
    </w:r>
    <w:r>
      <w:t xml:space="preserve"> av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r>
    <w:r>
      <w:rPr>
        <w:sz w:val="12"/>
        <w:szCs w:val="12"/>
      </w:rPr>
      <w:t xml:space="preserve">Senast tryckt: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Sida </w:t>
    </w:r>
    <w:r w:rsidRPr="00D445EB">
      <w:rPr>
        <w:szCs w:val="17"/>
      </w:rPr>
      <w:fldChar w:fldCharType="begin"/>
    </w:r>
    <w:r w:rsidRPr="00D445EB">
      <w:rPr>
        <w:szCs w:val="17"/>
      </w:rPr>
      <w:instrText xml:space="preserve"> PAGE </w:instrText>
    </w:r>
    <w:r w:rsidRPr="00D445EB">
      <w:rPr>
        <w:szCs w:val="17"/>
      </w:rPr>
      <w:fldChar w:fldCharType="separate"/>
    </w:r>
    <w:r w:rsidR="00E221E9">
      <w:rPr>
        <w:szCs w:val="17"/>
      </w:rPr>
      <w:t>1</w:t>
    </w:r>
    <w:r w:rsidRPr="00D445EB">
      <w:rPr>
        <w:szCs w:val="17"/>
      </w:rPr>
      <w:fldChar w:fldCharType="end"/>
    </w:r>
    <w:r>
      <w:t xml:space="preserve"> av </w:t>
    </w:r>
    <w:r w:rsidRPr="00D445EB">
      <w:rPr>
        <w:szCs w:val="17"/>
      </w:rPr>
      <w:fldChar w:fldCharType="begin"/>
    </w:r>
    <w:r w:rsidRPr="00D445EB">
      <w:rPr>
        <w:szCs w:val="17"/>
      </w:rPr>
      <w:instrText xml:space="preserve"> NUMPAGES </w:instrText>
    </w:r>
    <w:r w:rsidRPr="00D445EB">
      <w:rPr>
        <w:szCs w:val="17"/>
      </w:rPr>
      <w:fldChar w:fldCharType="separate"/>
    </w:r>
    <w:r w:rsidR="00E221E9">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Sida </w:t>
    </w:r>
    <w:r w:rsidRPr="00D445EB">
      <w:rPr>
        <w:szCs w:val="17"/>
      </w:rPr>
      <w:fldChar w:fldCharType="begin"/>
    </w:r>
    <w:r w:rsidRPr="00D445EB">
      <w:rPr>
        <w:szCs w:val="17"/>
      </w:rPr>
      <w:instrText xml:space="preserve"> PAGE </w:instrText>
    </w:r>
    <w:r w:rsidRPr="00D445EB">
      <w:rPr>
        <w:szCs w:val="17"/>
      </w:rPr>
      <w:fldChar w:fldCharType="separate"/>
    </w:r>
    <w:r w:rsidR="00E221E9">
      <w:rPr>
        <w:szCs w:val="17"/>
      </w:rPr>
      <w:t>2</w:t>
    </w:r>
    <w:r w:rsidRPr="00D445EB">
      <w:rPr>
        <w:szCs w:val="17"/>
      </w:rPr>
      <w:fldChar w:fldCharType="end"/>
    </w:r>
    <w:r>
      <w:t xml:space="preserve"> av </w:t>
    </w:r>
    <w:r w:rsidRPr="00D445EB">
      <w:rPr>
        <w:szCs w:val="17"/>
      </w:rPr>
      <w:fldChar w:fldCharType="begin"/>
    </w:r>
    <w:r w:rsidRPr="00D445EB">
      <w:rPr>
        <w:szCs w:val="17"/>
      </w:rPr>
      <w:instrText xml:space="preserve"> NUMPAGES </w:instrText>
    </w:r>
    <w:r w:rsidRPr="00D445EB">
      <w:rPr>
        <w:szCs w:val="17"/>
      </w:rPr>
      <w:fldChar w:fldCharType="separate"/>
    </w:r>
    <w:r w:rsidR="00E221E9">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Europeiska centralbankens beslut (EU) 2019/2158 av den 5 december 2019 om metoder och förfaranden för att bestämma och insamla uppgifter avseende avgiftsfaktorer som används för att beräkna de årliga tillsynsavgifterna (ECB/2019/38) (EUT L 327, 17.12.2019, s. 99).</w:t>
      </w:r>
    </w:p>
  </w:footnote>
  <w:footnote w:id="2">
    <w:p w:rsidR="00B10D8F" w:rsidRDefault="00DD3B2D" w:rsidP="00B10D8F">
      <w:pPr>
        <w:pStyle w:val="FootnoteText"/>
        <w:jc w:val="both"/>
      </w:pPr>
      <w:r>
        <w:rPr>
          <w:rStyle w:val="FootnoteReference"/>
        </w:rPr>
        <w:footnoteRef/>
      </w:r>
      <w:r>
        <w:t xml:space="preserve"> </w:t>
      </w:r>
      <w:r>
        <w:tab/>
        <w:t xml:space="preserve">Namn och LEI-kod på avgiftsbetalande kreditinstitut som företräder högsta konsolideringsnivå i gruppen under tillsyn. </w:t>
      </w:r>
    </w:p>
    <w:p w:rsidR="00DD3B2D" w:rsidRDefault="00B10D8F" w:rsidP="00B10D8F">
      <w:pPr>
        <w:pStyle w:val="FootnoteText"/>
        <w:jc w:val="both"/>
      </w:pPr>
      <w:r>
        <w:tab/>
        <w:t xml:space="preserve">Om den avgiftsskyldige som utsetts är densamma som det avgiftsbetalande kreditinstitutet som företräder högsta konsolideringsnivå i gruppen under tillsyn ska namn och LEI-kod på raderna 3 och 4 vara samma som namn och LEI-kod på raderna1 och 2. </w:t>
      </w:r>
    </w:p>
  </w:footnote>
  <w:footnote w:id="3">
    <w:p w:rsidR="00894AE1" w:rsidRDefault="00894AE1">
      <w:pPr>
        <w:pStyle w:val="FootnoteText"/>
      </w:pPr>
      <w:r>
        <w:rPr>
          <w:rStyle w:val="FootnoteReference"/>
        </w:rPr>
        <w:footnoteRef/>
      </w:r>
      <w:r>
        <w:t xml:space="preserve"> </w:t>
      </w:r>
      <w:r>
        <w:tab/>
        <w:t xml:space="preserve">I fall då LEI-kod saknas, vänligen ange den kod som används för tillsynsrapportering. </w:t>
      </w:r>
    </w:p>
  </w:footnote>
  <w:footnote w:id="4">
    <w:p w:rsidR="00EC0FA9" w:rsidRDefault="00EC0FA9">
      <w:pPr>
        <w:pStyle w:val="FootnoteText"/>
      </w:pPr>
      <w:r>
        <w:rPr>
          <w:rStyle w:val="FootnoteReference"/>
        </w:rPr>
        <w:footnoteRef/>
      </w:r>
      <w:r>
        <w:t xml:space="preserve"> </w:t>
      </w:r>
      <w:r>
        <w:tab/>
        <w:t>Se fotnot 2 ovan.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E9" w:rsidRDefault="00E22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bookmarkStart w:id="1" w:name="_GoBack"/>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bookmarkEnd w:id="1"/>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21E9"/>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EB56-8E0D-4D95-9E70-50BFC1AD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artenss</cp:lastModifiedBy>
  <cp:revision>3</cp:revision>
  <dcterms:created xsi:type="dcterms:W3CDTF">2020-05-06T09:27:00Z</dcterms:created>
  <dcterms:modified xsi:type="dcterms:W3CDTF">2020-05-07T09:49:00Z</dcterms:modified>
</cp:coreProperties>
</file>