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E0" w:rsidRPr="002461FA" w:rsidRDefault="00C90EE0">
      <w:pPr>
        <w:rPr>
          <w:rStyle w:val="ECBClassification"/>
        </w:rPr>
        <w:sectPr w:rsidR="00C90EE0" w:rsidRPr="002461FA" w:rsidSect="00231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68" w:right="1134" w:bottom="2268" w:left="1418" w:header="567" w:footer="510" w:gutter="0"/>
          <w:cols w:space="720"/>
          <w:titlePg/>
        </w:sectPr>
      </w:pPr>
    </w:p>
    <w:p w:rsidR="00074997" w:rsidRDefault="00990B30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  <w:r>
        <w:rPr>
          <w:b/>
          <w:bCs/>
          <w:sz w:val="24"/>
          <w:szCs w:val="20"/>
        </w:rPr>
        <w:lastRenderedPageBreak/>
        <w:t>Vzor oznámenia o úmysle dohliadaných skupín vylúčiť aktíva a/alebo rizikovú expozíciu dcérskych spoločností mimo SSM</w:t>
      </w:r>
    </w:p>
    <w:p w:rsidR="00C823FA" w:rsidRPr="0017289D" w:rsidRDefault="00C823FA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</w:p>
    <w:p w:rsidR="00E17FE6" w:rsidRDefault="00591635" w:rsidP="00990B30">
      <w:pPr>
        <w:pStyle w:val="ECBBodyText"/>
        <w:jc w:val="both"/>
      </w:pPr>
      <w:r>
        <w:t>Podľa článku 4 rozhodnutia Európskej centrálnej banky (EÚ) 2019/2158 (ECB/2019/38)</w:t>
      </w:r>
      <w:r w:rsidR="006B6013" w:rsidRPr="0017289D">
        <w:rPr>
          <w:rStyle w:val="FootnoteReference"/>
        </w:rPr>
        <w:footnoteReference w:id="1"/>
      </w:r>
      <w:r>
        <w:t xml:space="preserve"> sú poplatníci, ktorí majú v úmysle neprihliadať na aktíva a/alebo rizikovú expozíciu dcérskych spoločností usadených v</w:t>
      </w:r>
      <w:r w:rsidR="003010D2">
        <w:t> </w:t>
      </w:r>
      <w:r>
        <w:t>nezúčastnených členských štátoch a tretích krajinách, povinní svoje rozhodnutie oznámiť ECB najneskôr do 30. septembra poplatkového obdobia, za ktoré sa poplatok počíta. Na tento účel sa v</w:t>
      </w:r>
      <w:r w:rsidR="003010D2">
        <w:t> </w:t>
      </w:r>
      <w:r>
        <w:t xml:space="preserve">súčasnosti zavádza online postup, o ktorého sprístupnení budú poplatníci v príslušnom čase informovaní. </w:t>
      </w:r>
    </w:p>
    <w:p w:rsidR="00E17FE6" w:rsidRDefault="00E17FE6" w:rsidP="00990B30">
      <w:pPr>
        <w:pStyle w:val="ECBBodyText"/>
        <w:jc w:val="both"/>
      </w:pPr>
      <w:r>
        <w:t xml:space="preserve">Do zavedenia uvedeného postupu si môžu poplatníci na oznámenie svojho úmyslu vylúčiť aktíva a/alebo rizikovú expozíciu dcérskych spoločností usadených mimo SSM stiahnuť oznamovací formulár, ktorý po vyplnení odošlú na adresu </w:t>
      </w:r>
      <w:hyperlink r:id="rId15" w:history="1">
        <w:r>
          <w:rPr>
            <w:rStyle w:val="Hyperlink"/>
          </w:rPr>
          <w:t>SSM-fee-enquiries@ecb.europa.eu</w:t>
        </w:r>
      </w:hyperlink>
      <w:r>
        <w:t>.</w:t>
      </w:r>
    </w:p>
    <w:p w:rsidR="00990B30" w:rsidRDefault="00990B30" w:rsidP="00990B30">
      <w:pPr>
        <w:pStyle w:val="ECBBodyText"/>
        <w:jc w:val="both"/>
      </w:pPr>
      <w:r>
        <w:t>Oznámenie má byť ECB doručené do 30. septembra daného poplatkového obdobia, aby ECB a príslušné vnútroštátne orgány vedeli, či majú očakávať nahlásenie údajov týkajúcich sa faktorov výpočtu poplatku od dohliadanej skupiny prostredníctvom osobitného vykazovacieho procesu podľa článku 3 ods. 2 a 3 rozhodnutia (EÚ) 2019/2158 (ECB/2019/38).</w:t>
      </w:r>
    </w:p>
    <w:p w:rsidR="00990B30" w:rsidRPr="0017289D" w:rsidRDefault="00990B30" w:rsidP="00990B30">
      <w:pPr>
        <w:pStyle w:val="ECBBodyText"/>
        <w:jc w:val="both"/>
      </w:pPr>
      <w:r>
        <w:t>Ak ECB takéto oznámenie nedostane, bude predpokladať, že poplatník nemá v úmysle príspevok dcérskych spoločností usadených mimo SSM vylúčiť, a na výpočet poplatku za dohľad použije údaje z</w:t>
      </w:r>
      <w:r w:rsidR="003010D2">
        <w:t> </w:t>
      </w:r>
      <w:r>
        <w:t>finančného (FINREP) a spoločného vykazovania (COREP). Poplatníci majú tiež možnosť vylúčiť príspevok dcérskych spoločností nepatriacich do SSM z len jedného z dvoch faktorov výpočtu poplatku. Poplatník sa napr. môže rozhodnúť vylúčiť len celkovú rizikovú expozíciu (total risk exposure – TRE). ECB bude v takom prípade očakávať nahlásenie poplatkového faktora TRE prostredníctvom osobitného vykazovacieho procesu, pričom na určenie výšky celkových aktív (total assets – TA) použije údaje z</w:t>
      </w:r>
      <w:r w:rsidR="003010D2">
        <w:t> </w:t>
      </w:r>
      <w:r>
        <w:t>FINREP, v súlade s článkom 3 ods. 1 písm. b) rozhodnutia (EÚ) 2019/2158 (ECB/2019/38).</w:t>
      </w:r>
    </w:p>
    <w:p w:rsidR="00D55477" w:rsidRPr="0017289D" w:rsidRDefault="00D55477" w:rsidP="00D55477">
      <w:pPr>
        <w:pStyle w:val="ECBBodyText"/>
        <w:rPr>
          <w:rFonts w:ascii="Verdana" w:hAnsi="Verdana" w:cs="Verdana"/>
          <w:color w:val="000000"/>
          <w:szCs w:val="20"/>
        </w:rPr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512A63" w:rsidRPr="0017289D" w:rsidRDefault="00512A63" w:rsidP="00D55477">
      <w:pPr>
        <w:pStyle w:val="ECBBodyText"/>
      </w:pPr>
    </w:p>
    <w:p w:rsidR="00070969" w:rsidRDefault="00070969" w:rsidP="0017289D">
      <w:pPr>
        <w:pStyle w:val="Default"/>
        <w:rPr>
          <w:b/>
          <w:bCs/>
          <w:color w:val="0046AC"/>
          <w:sz w:val="22"/>
          <w:szCs w:val="22"/>
        </w:rPr>
      </w:pPr>
    </w:p>
    <w:p w:rsidR="00857BF7" w:rsidRPr="0017289D" w:rsidRDefault="00857BF7" w:rsidP="0017289D">
      <w:pPr>
        <w:pStyle w:val="Default"/>
        <w:rPr>
          <w:b/>
          <w:bCs/>
          <w:color w:val="0046AC"/>
          <w:sz w:val="22"/>
          <w:szCs w:val="22"/>
        </w:rPr>
      </w:pPr>
    </w:p>
    <w:p w:rsidR="00512A63" w:rsidRPr="0017289D" w:rsidRDefault="00BD6005" w:rsidP="00070969">
      <w:pPr>
        <w:pStyle w:val="Default"/>
        <w:jc w:val="center"/>
        <w:rPr>
          <w:color w:val="0046AC"/>
          <w:sz w:val="22"/>
          <w:szCs w:val="22"/>
        </w:rPr>
      </w:pPr>
      <w:r>
        <w:rPr>
          <w:b/>
          <w:bCs/>
          <w:color w:val="0046AC"/>
          <w:sz w:val="22"/>
          <w:szCs w:val="22"/>
        </w:rPr>
        <w:t>Vzor oznámenia o úmysle vylúčiť aktíva a/alebo rizikovú expozíciu dcérskych spoločností mimo SSM</w:t>
      </w:r>
    </w:p>
    <w:p w:rsidR="00512A63" w:rsidRPr="0017289D" w:rsidRDefault="00512A63" w:rsidP="00512A63">
      <w:pPr>
        <w:pStyle w:val="Default"/>
        <w:rPr>
          <w:sz w:val="20"/>
          <w:szCs w:val="20"/>
        </w:rPr>
      </w:pPr>
    </w:p>
    <w:p w:rsidR="004D487B" w:rsidRPr="0017289D" w:rsidRDefault="004D487B" w:rsidP="00512A63">
      <w:pPr>
        <w:pStyle w:val="Default"/>
        <w:rPr>
          <w:sz w:val="20"/>
          <w:szCs w:val="20"/>
        </w:rPr>
      </w:pPr>
    </w:p>
    <w:p w:rsidR="004D487B" w:rsidRPr="0017289D" w:rsidRDefault="004D487B" w:rsidP="00512A63">
      <w:pPr>
        <w:pStyle w:val="Default"/>
        <w:rPr>
          <w:rFonts w:ascii="Arial" w:hAnsi="Arial" w:cs="Arial"/>
          <w:sz w:val="20"/>
          <w:szCs w:val="20"/>
        </w:rPr>
        <w:sectPr w:rsidR="004D487B" w:rsidRPr="0017289D" w:rsidSect="00231031">
          <w:footerReference w:type="default" r:id="rId16"/>
          <w:type w:val="continuous"/>
          <w:pgSz w:w="11907" w:h="16840" w:code="9"/>
          <w:pgMar w:top="2268" w:right="1134" w:bottom="2268" w:left="1418" w:header="567" w:footer="510" w:gutter="0"/>
          <w:cols w:space="720"/>
          <w:formProt w:val="0"/>
          <w:titlePg/>
        </w:sectPr>
      </w:pPr>
    </w:p>
    <w:p w:rsidR="004D487B" w:rsidRPr="0017289D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[Názov poplatníka]</w:t>
      </w:r>
    </w:p>
    <w:p w:rsidR="004D487B" w:rsidRPr="0017289D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[Meno kontaktnej osoby]</w:t>
      </w:r>
    </w:p>
    <w:p w:rsidR="004D487B" w:rsidRPr="0017289D" w:rsidRDefault="00CD15B0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[Oddelenie] </w:t>
      </w:r>
    </w:p>
    <w:p w:rsidR="00697773" w:rsidRPr="0017289D" w:rsidRDefault="00697773" w:rsidP="0069777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[Adresa a e-mailová adresa] </w:t>
      </w: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697773" w:rsidRDefault="00697773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17289D" w:rsidRDefault="004D487B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697773" w:rsidRDefault="004D487B" w:rsidP="00697773">
      <w:pPr>
        <w:pStyle w:val="Default"/>
        <w:rPr>
          <w:rFonts w:ascii="Arial" w:hAnsi="Arial" w:cs="Arial"/>
          <w:sz w:val="20"/>
          <w:szCs w:val="20"/>
        </w:rPr>
        <w:sectPr w:rsidR="004D487B" w:rsidRPr="00697773" w:rsidSect="004D487B">
          <w:type w:val="continuous"/>
          <w:pgSz w:w="11907" w:h="16840" w:code="9"/>
          <w:pgMar w:top="2268" w:right="1134" w:bottom="2268" w:left="1418" w:header="567" w:footer="510" w:gutter="0"/>
          <w:cols w:num="2" w:space="720"/>
          <w:formProt w:val="0"/>
          <w:titlePg/>
        </w:sectPr>
      </w:pPr>
    </w:p>
    <w:p w:rsidR="00512A63" w:rsidRPr="0017289D" w:rsidRDefault="00697773" w:rsidP="00F90002">
      <w:pPr>
        <w:pStyle w:val="ECBBodyText"/>
        <w:jc w:val="center"/>
        <w:rPr>
          <w:rFonts w:cs="Arial"/>
          <w:b/>
          <w:bCs/>
          <w:szCs w:val="20"/>
        </w:rPr>
      </w:pPr>
      <w:r>
        <w:rPr>
          <w:b/>
          <w:bCs/>
          <w:szCs w:val="20"/>
        </w:rPr>
        <w:lastRenderedPageBreak/>
        <w:t>Oznámenie o úmysle vylúčiť aktíva a/alebo rizikovú expozíciu dcérskych spoločností mimo SSM na účely výpočtu poplatku za dohľad ECB za rok YYYY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0D530E" w:rsidP="00DD3B2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Názov poplatníka:</w:t>
            </w:r>
          </w:p>
        </w:tc>
        <w:tc>
          <w:tcPr>
            <w:tcW w:w="4643" w:type="dxa"/>
            <w:vAlign w:val="center"/>
          </w:tcPr>
          <w:p w:rsidR="000D530E" w:rsidRPr="0017289D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[Názov]</w:t>
            </w:r>
          </w:p>
        </w:tc>
      </w:tr>
      <w:tr w:rsidR="00AA12FD" w:rsidRPr="0017289D" w:rsidTr="00C856C7">
        <w:trPr>
          <w:trHeight w:val="57"/>
        </w:trPr>
        <w:tc>
          <w:tcPr>
            <w:tcW w:w="4928" w:type="dxa"/>
            <w:vAlign w:val="center"/>
          </w:tcPr>
          <w:p w:rsidR="00AA12FD" w:rsidRPr="00DD3B2D" w:rsidRDefault="00AA12FD" w:rsidP="00F12E71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Identifikačné číslo právnickej osoby (legal entity identifier – LEI) poplatníka:</w:t>
            </w:r>
          </w:p>
        </w:tc>
        <w:tc>
          <w:tcPr>
            <w:tcW w:w="4643" w:type="dxa"/>
            <w:vAlign w:val="center"/>
          </w:tcPr>
          <w:p w:rsidR="00AA12FD" w:rsidRPr="0017289D" w:rsidRDefault="00AA12FD" w:rsidP="00DD3B2D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[XXXXXXXXXXXXXXXXXXXX]</w:t>
            </w:r>
          </w:p>
        </w:tc>
      </w:tr>
      <w:tr w:rsidR="00DD3B2D" w:rsidRPr="0017289D" w:rsidTr="00C856C7">
        <w:trPr>
          <w:trHeight w:val="57"/>
        </w:trPr>
        <w:tc>
          <w:tcPr>
            <w:tcW w:w="4928" w:type="dxa"/>
          </w:tcPr>
          <w:p w:rsidR="00DD3B2D" w:rsidRPr="0017289D" w:rsidRDefault="00DD3B2D" w:rsidP="001C731A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Názov dohliadanej skupiny:</w:t>
            </w:r>
          </w:p>
        </w:tc>
        <w:tc>
          <w:tcPr>
            <w:tcW w:w="4643" w:type="dxa"/>
          </w:tcPr>
          <w:p w:rsidR="00DD3B2D" w:rsidRPr="0017289D" w:rsidRDefault="00DD3B2D" w:rsidP="001C731A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[Názov]</w:t>
            </w:r>
            <w:bookmarkStart w:id="1" w:name="_Ref35874756"/>
            <w:r>
              <w:rPr>
                <w:rStyle w:val="FootnoteReference"/>
                <w:rFonts w:cs="Arial"/>
                <w:sz w:val="18"/>
                <w:szCs w:val="18"/>
              </w:rPr>
              <w:footnoteReference w:id="2"/>
            </w:r>
            <w:bookmarkEnd w:id="1"/>
          </w:p>
        </w:tc>
      </w:tr>
      <w:tr w:rsidR="00DD3B2D" w:rsidRPr="0017289D" w:rsidTr="00C856C7">
        <w:trPr>
          <w:trHeight w:val="113"/>
        </w:trPr>
        <w:tc>
          <w:tcPr>
            <w:tcW w:w="4928" w:type="dxa"/>
            <w:vAlign w:val="center"/>
          </w:tcPr>
          <w:p w:rsidR="00DD3B2D" w:rsidRPr="00DD3B2D" w:rsidRDefault="00DD3B2D" w:rsidP="00F12E71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Identifikačné číslo právnickej osoby (LEI)</w:t>
            </w:r>
            <w:r w:rsidR="00894AE1">
              <w:rPr>
                <w:rStyle w:val="FootnoteReference"/>
                <w:rFonts w:cs="Arial"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 xml:space="preserve"> dohliadanej skupiny:</w:t>
            </w:r>
          </w:p>
        </w:tc>
        <w:tc>
          <w:tcPr>
            <w:tcW w:w="4643" w:type="dxa"/>
            <w:vAlign w:val="center"/>
          </w:tcPr>
          <w:p w:rsidR="00DD3B2D" w:rsidRPr="0017289D" w:rsidRDefault="00DD3B2D" w:rsidP="00EC0FA9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[XXXXXXXXXXXXXXXXXXXX]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="00EC0FA9">
              <w:rPr>
                <w:rStyle w:val="FootnoteReference"/>
                <w:rFonts w:cs="Arial"/>
                <w:sz w:val="18"/>
                <w:szCs w:val="18"/>
              </w:rPr>
              <w:footnoteReference w:id="4"/>
            </w:r>
          </w:p>
        </w:tc>
      </w:tr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F06ED0" w:rsidP="00F06ED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Vylúčiť príspevok dcérskych spoločností mimo SSM:</w:t>
            </w:r>
          </w:p>
        </w:tc>
        <w:tc>
          <w:tcPr>
            <w:tcW w:w="4643" w:type="dxa"/>
            <w:vAlign w:val="center"/>
          </w:tcPr>
          <w:p w:rsidR="00B10D8F" w:rsidRDefault="00074997" w:rsidP="00B10D8F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[Vyberte jednu alebo obidve z uvedených možností]</w:t>
            </w:r>
          </w:p>
          <w:p w:rsidR="00B10D8F" w:rsidRDefault="00614BF0" w:rsidP="00B10D8F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8863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6680">
              <w:rPr>
                <w:sz w:val="18"/>
                <w:szCs w:val="18"/>
              </w:rPr>
              <w:t xml:space="preserve"> k celkovej rizikovej expozícii ako faktoru výpočtu poplatku</w:t>
            </w:r>
            <w:r w:rsidR="00D76680">
              <w:rPr>
                <w:sz w:val="18"/>
                <w:szCs w:val="18"/>
                <w:u w:val="single"/>
              </w:rPr>
              <w:t xml:space="preserve"> </w:t>
            </w:r>
          </w:p>
          <w:p w:rsidR="00AF0B4A" w:rsidRPr="0017289D" w:rsidRDefault="00614BF0" w:rsidP="0001128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102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6680">
              <w:rPr>
                <w:sz w:val="18"/>
                <w:szCs w:val="18"/>
              </w:rPr>
              <w:t xml:space="preserve"> k celkovým aktívam ako faktoru výpočtu poplatku</w:t>
            </w:r>
          </w:p>
        </w:tc>
      </w:tr>
      <w:tr w:rsidR="000D530E" w:rsidRPr="0017289D" w:rsidTr="00C856C7">
        <w:trPr>
          <w:trHeight w:val="57"/>
        </w:trPr>
        <w:tc>
          <w:tcPr>
            <w:tcW w:w="4928" w:type="dxa"/>
            <w:vAlign w:val="center"/>
          </w:tcPr>
          <w:p w:rsidR="000D530E" w:rsidRPr="0017289D" w:rsidRDefault="00DD3B2D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Dátum podania ECB:</w:t>
            </w:r>
          </w:p>
        </w:tc>
        <w:tc>
          <w:tcPr>
            <w:tcW w:w="4643" w:type="dxa"/>
            <w:vAlign w:val="center"/>
          </w:tcPr>
          <w:p w:rsidR="000D530E" w:rsidRPr="0017289D" w:rsidRDefault="00B55624" w:rsidP="00CD15B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[dd. mm. yyyy]</w:t>
            </w:r>
          </w:p>
        </w:tc>
      </w:tr>
    </w:tbl>
    <w:p w:rsidR="007212DB" w:rsidRDefault="007212DB" w:rsidP="007212DB">
      <w:pPr>
        <w:rPr>
          <w:rFonts w:cs="Arial"/>
          <w:b/>
          <w:bCs/>
          <w:szCs w:val="20"/>
        </w:rPr>
      </w:pPr>
    </w:p>
    <w:p w:rsidR="00DD3B2D" w:rsidRDefault="00DD3B2D" w:rsidP="007212DB">
      <w:pPr>
        <w:rPr>
          <w:rFonts w:cs="Arial"/>
          <w:b/>
          <w:bCs/>
          <w:szCs w:val="20"/>
        </w:rPr>
      </w:pPr>
    </w:p>
    <w:p w:rsidR="00DD3B2D" w:rsidRDefault="00DD3B2D" w:rsidP="007212DB"/>
    <w:p w:rsidR="00F90002" w:rsidRDefault="007212DB" w:rsidP="00086CEA">
      <w:pPr>
        <w:tabs>
          <w:tab w:val="left" w:pos="4138"/>
        </w:tabs>
      </w:pPr>
      <w:r>
        <w:tab/>
      </w:r>
    </w:p>
    <w:p w:rsidR="00F90002" w:rsidRPr="00F90002" w:rsidRDefault="00F90002" w:rsidP="00F90002"/>
    <w:p w:rsidR="00F90002" w:rsidRPr="00F90002" w:rsidRDefault="00F90002" w:rsidP="00F90002"/>
    <w:p w:rsidR="00F90002" w:rsidRPr="00F90002" w:rsidRDefault="00F90002" w:rsidP="00F90002"/>
    <w:p w:rsidR="000D530E" w:rsidRPr="00F90002" w:rsidRDefault="000D530E" w:rsidP="00F90002">
      <w:pPr>
        <w:tabs>
          <w:tab w:val="left" w:pos="3851"/>
        </w:tabs>
      </w:pPr>
    </w:p>
    <w:sectPr w:rsidR="000D530E" w:rsidRPr="00F90002" w:rsidSect="00231031"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B8" w:rsidRDefault="00DD4DB8">
      <w:pPr>
        <w:spacing w:before="0" w:after="0" w:line="240" w:lineRule="auto"/>
      </w:pPr>
      <w:r>
        <w:separator/>
      </w:r>
    </w:p>
  </w:endnote>
  <w:endnote w:type="continuationSeparator" w:id="0">
    <w:p w:rsidR="00DD4DB8" w:rsidRDefault="00DD4D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ndny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D2" w:rsidRDefault="00301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570348" w:rsidP="00143A07">
    <w:pPr>
      <w:pStyle w:val="Footer"/>
      <w:jc w:val="both"/>
    </w:pPr>
    <w:r w:rsidRPr="00264109">
      <w:rPr>
        <w:sz w:val="14"/>
      </w:rPr>
      <w:fldChar w:fldCharType="begin"/>
    </w:r>
    <w:r w:rsidRPr="00264109">
      <w:rPr>
        <w:sz w:val="14"/>
      </w:rPr>
      <w:instrText xml:space="preserve"> FILENAME </w:instrText>
    </w:r>
    <w:r w:rsidRPr="00264109">
      <w:rPr>
        <w:sz w:val="14"/>
      </w:rPr>
      <w:fldChar w:fldCharType="separate"/>
    </w:r>
    <w:r w:rsidR="00417113">
      <w:rPr>
        <w:sz w:val="14"/>
      </w:rPr>
      <w:t>Template for management letter.docx</w:t>
    </w:r>
    <w:r w:rsidRPr="00264109">
      <w:rPr>
        <w:sz w:val="14"/>
      </w:rPr>
      <w:fldChar w:fldCharType="end"/>
    </w:r>
    <w:r>
      <w:rPr>
        <w:sz w:val="14"/>
      </w:rPr>
      <w:tab/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z </w:t>
    </w:r>
    <w:r>
      <w:fldChar w:fldCharType="begin"/>
    </w:r>
    <w:r>
      <w:instrText xml:space="preserve"> NUMPAGES </w:instrText>
    </w:r>
    <w:r>
      <w:fldChar w:fldCharType="separate"/>
    </w:r>
    <w:r w:rsidR="00417113">
      <w:t>1</w:t>
    </w:r>
    <w:r>
      <w:fldChar w:fldCharType="end"/>
    </w:r>
  </w:p>
  <w:p w:rsidR="00570348" w:rsidRDefault="00570348" w:rsidP="00143A07">
    <w:pPr>
      <w:pStyle w:val="Footer"/>
      <w:jc w:val="both"/>
    </w:pPr>
    <w:r>
      <w:tab/>
    </w:r>
    <w:r>
      <w:rPr>
        <w:sz w:val="12"/>
        <w:szCs w:val="12"/>
      </w:rPr>
      <w:t xml:space="preserve">Posledné vydanie: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417113">
      <w:rPr>
        <w:sz w:val="12"/>
        <w:szCs w:val="12"/>
      </w:rPr>
      <w:t>27/11/2019 10:40:00</w:t>
    </w:r>
    <w:r w:rsidRPr="00850385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  <w:t xml:space="preserve">Strana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3010D2">
      <w:rPr>
        <w:szCs w:val="17"/>
      </w:rPr>
      <w:t>1</w:t>
    </w:r>
    <w:r w:rsidRPr="00D445EB">
      <w:rPr>
        <w:szCs w:val="17"/>
      </w:rPr>
      <w:fldChar w:fldCharType="end"/>
    </w:r>
    <w:r>
      <w:t xml:space="preserve"> z 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3010D2">
      <w:rPr>
        <w:szCs w:val="17"/>
      </w:rPr>
      <w:t>2</w:t>
    </w:r>
    <w:r w:rsidRPr="00D445EB">
      <w:rPr>
        <w:szCs w:val="1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>
      <w:tab/>
      <w:t xml:space="preserve">Strana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614BF0">
      <w:rPr>
        <w:szCs w:val="17"/>
      </w:rPr>
      <w:t>2</w:t>
    </w:r>
    <w:r w:rsidRPr="00D445EB">
      <w:rPr>
        <w:szCs w:val="17"/>
      </w:rPr>
      <w:fldChar w:fldCharType="end"/>
    </w:r>
    <w:r>
      <w:t xml:space="preserve"> z 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614BF0">
      <w:rPr>
        <w:szCs w:val="17"/>
      </w:rPr>
      <w:t>2</w:t>
    </w:r>
    <w:r w:rsidRPr="00D445EB">
      <w:rPr>
        <w:szCs w:val="17"/>
      </w:rPr>
      <w:fldChar w:fldCharType="end"/>
    </w:r>
  </w:p>
  <w:p w:rsidR="00570348" w:rsidRDefault="00570348" w:rsidP="00E46E94">
    <w:pPr>
      <w:pStyle w:val="Footer"/>
      <w:jc w:val="both"/>
    </w:pPr>
  </w:p>
  <w:p w:rsidR="00570348" w:rsidRDefault="00570348" w:rsidP="00FB7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B8" w:rsidRDefault="00DD4DB8">
      <w:pPr>
        <w:spacing w:before="0" w:after="0" w:line="240" w:lineRule="auto"/>
      </w:pPr>
      <w:r>
        <w:separator/>
      </w:r>
    </w:p>
  </w:footnote>
  <w:footnote w:type="continuationSeparator" w:id="0">
    <w:p w:rsidR="00DD4DB8" w:rsidRDefault="00DD4DB8">
      <w:pPr>
        <w:spacing w:before="0" w:after="0" w:line="240" w:lineRule="auto"/>
      </w:pPr>
      <w:r>
        <w:continuationSeparator/>
      </w:r>
    </w:p>
  </w:footnote>
  <w:footnote w:id="1">
    <w:p w:rsidR="006B6013" w:rsidRDefault="006B6013" w:rsidP="006B60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Rozhodnutie Európskej centrálnej banky (EÚ) 2019/2158 z 5. decembra 2019 o metodike a postupoch na určenie a zber údajov týkajúcich sa faktorov výpočtu poplatku, ktoré sa používajú na výpočet ročných poplatkov za dohľad (ECB/2019/38) (Ú. v. EÚ L 327, 17.12.2019, s. 99).</w:t>
      </w:r>
    </w:p>
  </w:footnote>
  <w:footnote w:id="2">
    <w:p w:rsidR="00B10D8F" w:rsidRDefault="00DD3B2D" w:rsidP="00B10D8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Názov a LEI sa vzťahujú na úverovú inštitúciu platiacu poplatok, ktorá predstavuje najvyššiu úroveň konsolidácie v dohliadanej skupine. </w:t>
      </w:r>
    </w:p>
    <w:p w:rsidR="00DD3B2D" w:rsidRDefault="00B10D8F" w:rsidP="00B10D8F">
      <w:pPr>
        <w:pStyle w:val="FootnoteText"/>
        <w:jc w:val="both"/>
      </w:pPr>
      <w:r>
        <w:tab/>
        <w:t>Ak je určeným poplatníkom úverová inštitúcia platiaca poplatok, ktorá v rámci dohliadanej skupiny zároveň predstavuje najvyššiu úroveň konsolidácie, názov a LEI v treťom a štvrtom riadku by mali byť rovnaké ako v</w:t>
      </w:r>
      <w:r w:rsidR="00614BF0">
        <w:t> </w:t>
      </w:r>
      <w:bookmarkStart w:id="2" w:name="_GoBack"/>
      <w:bookmarkEnd w:id="2"/>
      <w:r>
        <w:t xml:space="preserve">prvom a druhom riadku. </w:t>
      </w:r>
    </w:p>
  </w:footnote>
  <w:footnote w:id="3">
    <w:p w:rsidR="00894AE1" w:rsidRDefault="00894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Ak LEI nie je k dispozícii, uveďte kód používaný v rámci vykazovania na účely dohľadu. </w:t>
      </w:r>
    </w:p>
  </w:footnote>
  <w:footnote w:id="4">
    <w:p w:rsidR="00EC0FA9" w:rsidRDefault="00EC0F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Poznámka pod čiarou č.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D2" w:rsidRDefault="00301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CF4291" w:rsidRDefault="00570348" w:rsidP="00CF4291">
    <w:pPr>
      <w:pStyle w:val="Header"/>
    </w:pPr>
    <w:bookmarkStart w:id="0" w:name="MarkingHeader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F64296" w:rsidP="003F5C2C">
    <w:pPr>
      <w:pStyle w:val="Header"/>
    </w:pPr>
    <w:r>
      <w:rPr>
        <w:noProof/>
        <w:lang w:val="en-GB"/>
      </w:rPr>
      <w:drawing>
        <wp:inline distT="0" distB="0" distL="0" distR="0" wp14:anchorId="1AB20B4F" wp14:editId="3B688C3F">
          <wp:extent cx="2202180" cy="790894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ECB_BS_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79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348" w:rsidRDefault="00570348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12B5E09"/>
    <w:multiLevelType w:val="hybridMultilevel"/>
    <w:tmpl w:val="B5F6374C"/>
    <w:lvl w:ilvl="0" w:tplc="2DA476AC">
      <w:start w:val="1"/>
      <w:numFmt w:val="lowerLetter"/>
      <w:pStyle w:val="ECBList1"/>
      <w:lvlText w:val="(%1)"/>
      <w:lvlJc w:val="left"/>
      <w:pPr>
        <w:ind w:left="128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0">
    <w:nsid w:val="34433BF0"/>
    <w:multiLevelType w:val="hybridMultilevel"/>
    <w:tmpl w:val="43C68784"/>
    <w:lvl w:ilvl="0" w:tplc="4306A9BC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D7469"/>
    <w:multiLevelType w:val="multilevel"/>
    <w:tmpl w:val="965A74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9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0"/>
  </w:num>
  <w:num w:numId="5">
    <w:abstractNumId w:val="17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4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GENERIC SSM"/>
  </w:docVars>
  <w:rsids>
    <w:rsidRoot w:val="00512A63"/>
    <w:rsid w:val="00010310"/>
    <w:rsid w:val="00010A4E"/>
    <w:rsid w:val="00011287"/>
    <w:rsid w:val="00027E77"/>
    <w:rsid w:val="00030DDC"/>
    <w:rsid w:val="00043A12"/>
    <w:rsid w:val="00044B75"/>
    <w:rsid w:val="00047929"/>
    <w:rsid w:val="00052081"/>
    <w:rsid w:val="00052170"/>
    <w:rsid w:val="00062E2A"/>
    <w:rsid w:val="00064ABE"/>
    <w:rsid w:val="00070969"/>
    <w:rsid w:val="00071495"/>
    <w:rsid w:val="00074997"/>
    <w:rsid w:val="00086CEA"/>
    <w:rsid w:val="00090E1C"/>
    <w:rsid w:val="00097223"/>
    <w:rsid w:val="000A16E1"/>
    <w:rsid w:val="000A4755"/>
    <w:rsid w:val="000C60DC"/>
    <w:rsid w:val="000D530E"/>
    <w:rsid w:val="000D7970"/>
    <w:rsid w:val="000E1384"/>
    <w:rsid w:val="000F7C86"/>
    <w:rsid w:val="00106FAA"/>
    <w:rsid w:val="0011029F"/>
    <w:rsid w:val="00110E6C"/>
    <w:rsid w:val="00116664"/>
    <w:rsid w:val="00130920"/>
    <w:rsid w:val="00132A11"/>
    <w:rsid w:val="001334C4"/>
    <w:rsid w:val="00133ACA"/>
    <w:rsid w:val="00143A07"/>
    <w:rsid w:val="001501B2"/>
    <w:rsid w:val="001564C0"/>
    <w:rsid w:val="0017289D"/>
    <w:rsid w:val="00185851"/>
    <w:rsid w:val="001930CC"/>
    <w:rsid w:val="001A29C8"/>
    <w:rsid w:val="001C47C6"/>
    <w:rsid w:val="001E279E"/>
    <w:rsid w:val="001F3701"/>
    <w:rsid w:val="00201470"/>
    <w:rsid w:val="00231031"/>
    <w:rsid w:val="002323F4"/>
    <w:rsid w:val="002461FA"/>
    <w:rsid w:val="0026027A"/>
    <w:rsid w:val="002776C8"/>
    <w:rsid w:val="002845A5"/>
    <w:rsid w:val="002B76C9"/>
    <w:rsid w:val="002C09D7"/>
    <w:rsid w:val="002C1156"/>
    <w:rsid w:val="002D37C3"/>
    <w:rsid w:val="002F18BE"/>
    <w:rsid w:val="002F2D9A"/>
    <w:rsid w:val="002F4143"/>
    <w:rsid w:val="003010D2"/>
    <w:rsid w:val="00310D43"/>
    <w:rsid w:val="003155D3"/>
    <w:rsid w:val="00327D10"/>
    <w:rsid w:val="003303C9"/>
    <w:rsid w:val="003508CC"/>
    <w:rsid w:val="00356BA8"/>
    <w:rsid w:val="00371129"/>
    <w:rsid w:val="003730DD"/>
    <w:rsid w:val="0037402E"/>
    <w:rsid w:val="00374A66"/>
    <w:rsid w:val="00377871"/>
    <w:rsid w:val="00386642"/>
    <w:rsid w:val="0038667F"/>
    <w:rsid w:val="00391F0A"/>
    <w:rsid w:val="0039319A"/>
    <w:rsid w:val="003943B3"/>
    <w:rsid w:val="003946B7"/>
    <w:rsid w:val="003A14CF"/>
    <w:rsid w:val="003A7C00"/>
    <w:rsid w:val="003B0E4C"/>
    <w:rsid w:val="003B67A8"/>
    <w:rsid w:val="003C5DD0"/>
    <w:rsid w:val="003D1F4C"/>
    <w:rsid w:val="003D5291"/>
    <w:rsid w:val="003E0659"/>
    <w:rsid w:val="003E7DF1"/>
    <w:rsid w:val="003F1D98"/>
    <w:rsid w:val="003F2EF7"/>
    <w:rsid w:val="003F40C0"/>
    <w:rsid w:val="003F5C2C"/>
    <w:rsid w:val="004022D8"/>
    <w:rsid w:val="004054E0"/>
    <w:rsid w:val="00412057"/>
    <w:rsid w:val="00417113"/>
    <w:rsid w:val="00431846"/>
    <w:rsid w:val="0044592B"/>
    <w:rsid w:val="004501E8"/>
    <w:rsid w:val="00454953"/>
    <w:rsid w:val="0046108E"/>
    <w:rsid w:val="00463994"/>
    <w:rsid w:val="00464590"/>
    <w:rsid w:val="00470EA3"/>
    <w:rsid w:val="004744D6"/>
    <w:rsid w:val="0047738B"/>
    <w:rsid w:val="00480D77"/>
    <w:rsid w:val="00482BED"/>
    <w:rsid w:val="00495916"/>
    <w:rsid w:val="004A44B0"/>
    <w:rsid w:val="004A7B60"/>
    <w:rsid w:val="004B023B"/>
    <w:rsid w:val="004B49E5"/>
    <w:rsid w:val="004B7F4B"/>
    <w:rsid w:val="004D2896"/>
    <w:rsid w:val="004D487B"/>
    <w:rsid w:val="004E368F"/>
    <w:rsid w:val="004E786A"/>
    <w:rsid w:val="004F63C9"/>
    <w:rsid w:val="00510193"/>
    <w:rsid w:val="00512A63"/>
    <w:rsid w:val="00512ED7"/>
    <w:rsid w:val="00516C1C"/>
    <w:rsid w:val="00547B1D"/>
    <w:rsid w:val="005513B3"/>
    <w:rsid w:val="005554FA"/>
    <w:rsid w:val="00561D92"/>
    <w:rsid w:val="00561E33"/>
    <w:rsid w:val="00570348"/>
    <w:rsid w:val="00570770"/>
    <w:rsid w:val="00591635"/>
    <w:rsid w:val="00595255"/>
    <w:rsid w:val="005A05A3"/>
    <w:rsid w:val="005A7C25"/>
    <w:rsid w:val="005B72B9"/>
    <w:rsid w:val="005D0023"/>
    <w:rsid w:val="005D0F51"/>
    <w:rsid w:val="005D4D84"/>
    <w:rsid w:val="005D5049"/>
    <w:rsid w:val="005D5FE4"/>
    <w:rsid w:val="005E7647"/>
    <w:rsid w:val="00600B26"/>
    <w:rsid w:val="006035FB"/>
    <w:rsid w:val="00610542"/>
    <w:rsid w:val="0061212A"/>
    <w:rsid w:val="00613BC7"/>
    <w:rsid w:val="00614BF0"/>
    <w:rsid w:val="00614F09"/>
    <w:rsid w:val="00615532"/>
    <w:rsid w:val="00615982"/>
    <w:rsid w:val="00617839"/>
    <w:rsid w:val="00625065"/>
    <w:rsid w:val="006374EC"/>
    <w:rsid w:val="00642345"/>
    <w:rsid w:val="00657023"/>
    <w:rsid w:val="0066035A"/>
    <w:rsid w:val="0066782B"/>
    <w:rsid w:val="00682937"/>
    <w:rsid w:val="00694C66"/>
    <w:rsid w:val="00697773"/>
    <w:rsid w:val="006B5EF0"/>
    <w:rsid w:val="006B6013"/>
    <w:rsid w:val="006B6C72"/>
    <w:rsid w:val="006B7E5C"/>
    <w:rsid w:val="006D0D38"/>
    <w:rsid w:val="006E265F"/>
    <w:rsid w:val="006E4069"/>
    <w:rsid w:val="006E7885"/>
    <w:rsid w:val="006F07E2"/>
    <w:rsid w:val="006F35A7"/>
    <w:rsid w:val="006F5290"/>
    <w:rsid w:val="007142B2"/>
    <w:rsid w:val="007158F7"/>
    <w:rsid w:val="00717CB1"/>
    <w:rsid w:val="007212DB"/>
    <w:rsid w:val="00727544"/>
    <w:rsid w:val="007311AB"/>
    <w:rsid w:val="0073490A"/>
    <w:rsid w:val="0073497B"/>
    <w:rsid w:val="00736250"/>
    <w:rsid w:val="00740A78"/>
    <w:rsid w:val="00756A9E"/>
    <w:rsid w:val="007660B8"/>
    <w:rsid w:val="0077153A"/>
    <w:rsid w:val="007842E5"/>
    <w:rsid w:val="00786405"/>
    <w:rsid w:val="007864B5"/>
    <w:rsid w:val="007874F2"/>
    <w:rsid w:val="00790885"/>
    <w:rsid w:val="00794102"/>
    <w:rsid w:val="00795C7B"/>
    <w:rsid w:val="007A046E"/>
    <w:rsid w:val="007A5F67"/>
    <w:rsid w:val="007A718D"/>
    <w:rsid w:val="007B2D62"/>
    <w:rsid w:val="007B6D49"/>
    <w:rsid w:val="007D4453"/>
    <w:rsid w:val="007F001C"/>
    <w:rsid w:val="007F3FFB"/>
    <w:rsid w:val="007F4A1D"/>
    <w:rsid w:val="00802B1E"/>
    <w:rsid w:val="0080475E"/>
    <w:rsid w:val="008139ED"/>
    <w:rsid w:val="0082459E"/>
    <w:rsid w:val="00824D92"/>
    <w:rsid w:val="008258AF"/>
    <w:rsid w:val="008270ED"/>
    <w:rsid w:val="008303C6"/>
    <w:rsid w:val="00834DC7"/>
    <w:rsid w:val="00845158"/>
    <w:rsid w:val="00847BA6"/>
    <w:rsid w:val="00857BF7"/>
    <w:rsid w:val="00860A54"/>
    <w:rsid w:val="008658B0"/>
    <w:rsid w:val="008659CF"/>
    <w:rsid w:val="00870A94"/>
    <w:rsid w:val="00894AE1"/>
    <w:rsid w:val="008A07CE"/>
    <w:rsid w:val="008B29E1"/>
    <w:rsid w:val="008C45CB"/>
    <w:rsid w:val="008D2EC7"/>
    <w:rsid w:val="008E51E8"/>
    <w:rsid w:val="008E600A"/>
    <w:rsid w:val="008E6A8A"/>
    <w:rsid w:val="008E70A3"/>
    <w:rsid w:val="008F68C8"/>
    <w:rsid w:val="00904066"/>
    <w:rsid w:val="00911ED5"/>
    <w:rsid w:val="00925F6D"/>
    <w:rsid w:val="009308D0"/>
    <w:rsid w:val="00941CA3"/>
    <w:rsid w:val="00956863"/>
    <w:rsid w:val="00990B30"/>
    <w:rsid w:val="009A3258"/>
    <w:rsid w:val="009A5777"/>
    <w:rsid w:val="009C4EB9"/>
    <w:rsid w:val="009C6F9F"/>
    <w:rsid w:val="009D2CA3"/>
    <w:rsid w:val="009E31D0"/>
    <w:rsid w:val="00A06046"/>
    <w:rsid w:val="00A126CE"/>
    <w:rsid w:val="00A12CA3"/>
    <w:rsid w:val="00A13AAD"/>
    <w:rsid w:val="00A23AC4"/>
    <w:rsid w:val="00A31889"/>
    <w:rsid w:val="00A34601"/>
    <w:rsid w:val="00A37F7E"/>
    <w:rsid w:val="00A44A1A"/>
    <w:rsid w:val="00A67A86"/>
    <w:rsid w:val="00A85B7B"/>
    <w:rsid w:val="00A972A5"/>
    <w:rsid w:val="00AA12FD"/>
    <w:rsid w:val="00AA4E4C"/>
    <w:rsid w:val="00AB48FA"/>
    <w:rsid w:val="00AC4F75"/>
    <w:rsid w:val="00AE7FAD"/>
    <w:rsid w:val="00AF0B4A"/>
    <w:rsid w:val="00AF14DA"/>
    <w:rsid w:val="00AF7FAC"/>
    <w:rsid w:val="00B02CEF"/>
    <w:rsid w:val="00B05455"/>
    <w:rsid w:val="00B10D8F"/>
    <w:rsid w:val="00B14E37"/>
    <w:rsid w:val="00B15D9B"/>
    <w:rsid w:val="00B243A7"/>
    <w:rsid w:val="00B24618"/>
    <w:rsid w:val="00B25CB1"/>
    <w:rsid w:val="00B26D46"/>
    <w:rsid w:val="00B34895"/>
    <w:rsid w:val="00B402CF"/>
    <w:rsid w:val="00B50700"/>
    <w:rsid w:val="00B521B0"/>
    <w:rsid w:val="00B55624"/>
    <w:rsid w:val="00B61E1A"/>
    <w:rsid w:val="00B638EF"/>
    <w:rsid w:val="00B9043D"/>
    <w:rsid w:val="00B92D15"/>
    <w:rsid w:val="00BB0B39"/>
    <w:rsid w:val="00BC51C1"/>
    <w:rsid w:val="00BC7397"/>
    <w:rsid w:val="00BD20B1"/>
    <w:rsid w:val="00BD32C8"/>
    <w:rsid w:val="00BD6005"/>
    <w:rsid w:val="00BE33BA"/>
    <w:rsid w:val="00BF4EF3"/>
    <w:rsid w:val="00C15EE3"/>
    <w:rsid w:val="00C21E50"/>
    <w:rsid w:val="00C2726F"/>
    <w:rsid w:val="00C27ADF"/>
    <w:rsid w:val="00C4544E"/>
    <w:rsid w:val="00C70264"/>
    <w:rsid w:val="00C72471"/>
    <w:rsid w:val="00C823FA"/>
    <w:rsid w:val="00C83B5F"/>
    <w:rsid w:val="00C856C7"/>
    <w:rsid w:val="00C90EE0"/>
    <w:rsid w:val="00C9780F"/>
    <w:rsid w:val="00CA13FC"/>
    <w:rsid w:val="00CA75C5"/>
    <w:rsid w:val="00CB64C7"/>
    <w:rsid w:val="00CB6975"/>
    <w:rsid w:val="00CC6BF3"/>
    <w:rsid w:val="00CC7FEC"/>
    <w:rsid w:val="00CD15B0"/>
    <w:rsid w:val="00CD3012"/>
    <w:rsid w:val="00CE072E"/>
    <w:rsid w:val="00CE494B"/>
    <w:rsid w:val="00CF4291"/>
    <w:rsid w:val="00D23AA9"/>
    <w:rsid w:val="00D24356"/>
    <w:rsid w:val="00D2531F"/>
    <w:rsid w:val="00D3577B"/>
    <w:rsid w:val="00D41F7C"/>
    <w:rsid w:val="00D42EE5"/>
    <w:rsid w:val="00D445EB"/>
    <w:rsid w:val="00D54FA5"/>
    <w:rsid w:val="00D55477"/>
    <w:rsid w:val="00D57460"/>
    <w:rsid w:val="00D76680"/>
    <w:rsid w:val="00D80272"/>
    <w:rsid w:val="00DA2410"/>
    <w:rsid w:val="00DB0B4F"/>
    <w:rsid w:val="00DB0F6C"/>
    <w:rsid w:val="00DB4B59"/>
    <w:rsid w:val="00DC2BB6"/>
    <w:rsid w:val="00DD3B2D"/>
    <w:rsid w:val="00DD4DB8"/>
    <w:rsid w:val="00DD5341"/>
    <w:rsid w:val="00DD7016"/>
    <w:rsid w:val="00DD7BF1"/>
    <w:rsid w:val="00DE2126"/>
    <w:rsid w:val="00DE3EF6"/>
    <w:rsid w:val="00DF0B06"/>
    <w:rsid w:val="00DF7BEE"/>
    <w:rsid w:val="00E018C9"/>
    <w:rsid w:val="00E0458B"/>
    <w:rsid w:val="00E17FE6"/>
    <w:rsid w:val="00E234AA"/>
    <w:rsid w:val="00E27BC5"/>
    <w:rsid w:val="00E32143"/>
    <w:rsid w:val="00E3435A"/>
    <w:rsid w:val="00E366DE"/>
    <w:rsid w:val="00E464AD"/>
    <w:rsid w:val="00E46E94"/>
    <w:rsid w:val="00E539EA"/>
    <w:rsid w:val="00E54D6D"/>
    <w:rsid w:val="00E55D21"/>
    <w:rsid w:val="00E6106B"/>
    <w:rsid w:val="00E67544"/>
    <w:rsid w:val="00E813A6"/>
    <w:rsid w:val="00E8410E"/>
    <w:rsid w:val="00E93210"/>
    <w:rsid w:val="00E94BAE"/>
    <w:rsid w:val="00E966D8"/>
    <w:rsid w:val="00EA183E"/>
    <w:rsid w:val="00EA7336"/>
    <w:rsid w:val="00EB093E"/>
    <w:rsid w:val="00EC0FA9"/>
    <w:rsid w:val="00EC1971"/>
    <w:rsid w:val="00EC6489"/>
    <w:rsid w:val="00EC6CF5"/>
    <w:rsid w:val="00ED7AEF"/>
    <w:rsid w:val="00F0106A"/>
    <w:rsid w:val="00F05DB2"/>
    <w:rsid w:val="00F06ED0"/>
    <w:rsid w:val="00F074F8"/>
    <w:rsid w:val="00F12E71"/>
    <w:rsid w:val="00F23105"/>
    <w:rsid w:val="00F41923"/>
    <w:rsid w:val="00F41AC4"/>
    <w:rsid w:val="00F44734"/>
    <w:rsid w:val="00F52215"/>
    <w:rsid w:val="00F64296"/>
    <w:rsid w:val="00F754E9"/>
    <w:rsid w:val="00F75813"/>
    <w:rsid w:val="00F872CC"/>
    <w:rsid w:val="00F90002"/>
    <w:rsid w:val="00F90798"/>
    <w:rsid w:val="00FA1511"/>
    <w:rsid w:val="00FB72C2"/>
    <w:rsid w:val="00FD226C"/>
    <w:rsid w:val="00FD4FEF"/>
    <w:rsid w:val="00FE0D1E"/>
    <w:rsid w:val="00FE321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E018C9"/>
    <w:rPr>
      <w:rFonts w:ascii="Arial" w:hAnsi="Arial" w:cs="Sendnya"/>
      <w:szCs w:val="22"/>
    </w:rPr>
  </w:style>
  <w:style w:type="character" w:styleId="Hyperlink">
    <w:name w:val="Hyperlink"/>
    <w:basedOn w:val="DefaultParagraphFont"/>
    <w:uiPriority w:val="99"/>
    <w:unhideWhenUsed/>
    <w:rsid w:val="006977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07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E018C9"/>
    <w:rPr>
      <w:rFonts w:ascii="Arial" w:hAnsi="Arial" w:cs="Sendnya"/>
      <w:szCs w:val="22"/>
    </w:rPr>
  </w:style>
  <w:style w:type="character" w:styleId="Hyperlink">
    <w:name w:val="Hyperlink"/>
    <w:basedOn w:val="DefaultParagraphFont"/>
    <w:uiPriority w:val="99"/>
    <w:unhideWhenUsed/>
    <w:rsid w:val="006977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0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SSM-fee-enquiries@ecb.europa.eu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ED27-5A01-413A-8F4C-F5EFFB02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2515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Flache, Laurence</dc:creator>
  <cp:lastModifiedBy>vargato</cp:lastModifiedBy>
  <cp:revision>4</cp:revision>
  <dcterms:created xsi:type="dcterms:W3CDTF">2020-05-06T09:27:00Z</dcterms:created>
  <dcterms:modified xsi:type="dcterms:W3CDTF">2020-05-07T14:47:00Z</dcterms:modified>
</cp:coreProperties>
</file>