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990B30" w:rsidP="0038667F">
      <w:pPr>
        <w:pStyle w:val="ECBBodyText"/>
        <w:jc w:val="both"/>
        <w:rPr>
          <w:rFonts w:cs="Times New Roman"/>
          <w:b/>
          <w:bCs/>
          <w:kern w:val="28"/>
          <w:sz w:val="24"/>
          <w:szCs w:val="20"/>
        </w:rPr>
      </w:pPr>
      <w:r>
        <w:rPr>
          <w:b/>
          <w:bCs/>
          <w:sz w:val="24"/>
          <w:szCs w:val="20"/>
        </w:rPr>
        <w:lastRenderedPageBreak/>
        <w:t>Modelo para notificação da intenção de excluir os ativos e/ou o montante das posições em risco de filiais de grupos supervisionados estabelecidas em países não participantes no MUS</w:t>
      </w:r>
    </w:p>
    <w:p w:rsidR="00C823FA" w:rsidRPr="0017289D" w:rsidRDefault="00C823FA" w:rsidP="0038667F">
      <w:pPr>
        <w:pStyle w:val="ECBBodyText"/>
        <w:jc w:val="both"/>
        <w:rPr>
          <w:rFonts w:cs="Times New Roman"/>
          <w:b/>
          <w:bCs/>
          <w:kern w:val="28"/>
          <w:sz w:val="24"/>
          <w:szCs w:val="20"/>
        </w:rPr>
      </w:pPr>
    </w:p>
    <w:p w:rsidR="00E17FE6" w:rsidRDefault="00591635" w:rsidP="00990B30">
      <w:pPr>
        <w:pStyle w:val="ECBBodyText"/>
        <w:jc w:val="both"/>
      </w:pPr>
      <w:r>
        <w:t>O artigo 4.º da Decisão (UE) 2019/2158 do Banco Central Europeu (BCE/2019/38)</w:t>
      </w:r>
      <w:r w:rsidR="006B6013" w:rsidRPr="0017289D">
        <w:rPr>
          <w:rStyle w:val="FootnoteReference"/>
        </w:rPr>
        <w:footnoteReference w:id="1"/>
      </w:r>
      <w:r>
        <w:t xml:space="preserve"> estabelece que os devedores de taxa que pretendam excluir os ativos e/ou o montante das posições em risco das filiais estabelecidas em Estados-Membros não participantes e em países terceiros devem notificar o BCE da sua decisão o mais tardar até 30 de setembro do período de taxa para o qual a taxa é calculada. Para o efeito, está a ser desenvolvido um processo eletrónico, que será comunicado aos devedores de taxa assim que estiver disponível. </w:t>
      </w:r>
    </w:p>
    <w:p w:rsidR="00E17FE6" w:rsidRDefault="00E17FE6" w:rsidP="00990B30">
      <w:pPr>
        <w:pStyle w:val="ECBBodyText"/>
        <w:jc w:val="both"/>
      </w:pPr>
      <w:r>
        <w:t xml:space="preserve">Até à conclusão do referido processo, os devedores de taxa que pretendam comunicar a sua intenção de excluir os ativos e/ou o montante das posições em risco das filiais estabelecidas em países não participantes no Mecanismo Único de Supervisão (MUS) devem descarregar e preencher o modelo de notificação correspondente e enviá-lo para o seguinte endereço: </w:t>
      </w:r>
      <w:hyperlink r:id="rId15" w:history="1">
        <w:r>
          <w:rPr>
            <w:rStyle w:val="Hyperlink"/>
          </w:rPr>
          <w:t>SSM-fee-enquiries@ecb.europa.eu</w:t>
        </w:r>
      </w:hyperlink>
      <w:r>
        <w:t>.</w:t>
      </w:r>
    </w:p>
    <w:p w:rsidR="00990B30" w:rsidRDefault="00990B30" w:rsidP="00990B30">
      <w:pPr>
        <w:pStyle w:val="ECBBodyText"/>
        <w:jc w:val="both"/>
      </w:pPr>
      <w:r>
        <w:t>O BCE terá de receber a notificação até 30 de setembro do período de taxa para que tanto o BCE como as autoridades nacionais competentes saibam se receberão, ou não, dados sobre os fatores de taxa do grupo supervisionado no contexto do processo separado de recolha de dados descrito no artigo 3.º, n.º</w:t>
      </w:r>
      <w:r>
        <w:rPr>
          <w:vertAlign w:val="superscript"/>
        </w:rPr>
        <w:t>s</w:t>
      </w:r>
      <w:r w:rsidR="009E21D6">
        <w:t> </w:t>
      </w:r>
      <w:r>
        <w:t>2 e 3, da Decisão (UE) 2019/2158 (BCE/2019/38).</w:t>
      </w:r>
    </w:p>
    <w:p w:rsidR="00990B30" w:rsidRPr="0017289D" w:rsidRDefault="00990B30" w:rsidP="00990B30">
      <w:pPr>
        <w:pStyle w:val="ECBBodyText"/>
        <w:jc w:val="both"/>
      </w:pPr>
      <w:r>
        <w:t>Se não receber essa notificação, o BCE assumirá que o devedor de taxa não pretende excluir o contributo de filiais estabelecidas em países não participantes no MUS e, portanto, reutilizará os dados disponibilizados nos modelos de reporte financeiro (</w:t>
      </w:r>
      <w:r>
        <w:rPr>
          <w:i/>
          <w:iCs/>
        </w:rPr>
        <w:t xml:space="preserve">Financial </w:t>
      </w:r>
      <w:proofErr w:type="spellStart"/>
      <w:r>
        <w:rPr>
          <w:i/>
          <w:iCs/>
        </w:rPr>
        <w:t>Reporting</w:t>
      </w:r>
      <w:proofErr w:type="spellEnd"/>
      <w:r>
        <w:t xml:space="preserve"> – FINREP) e de reporte comum (</w:t>
      </w:r>
      <w:proofErr w:type="spellStart"/>
      <w:r>
        <w:rPr>
          <w:i/>
          <w:iCs/>
        </w:rPr>
        <w:t>Common</w:t>
      </w:r>
      <w:proofErr w:type="spellEnd"/>
      <w:r>
        <w:rPr>
          <w:i/>
          <w:iCs/>
        </w:rPr>
        <w:t xml:space="preserve"> </w:t>
      </w:r>
      <w:proofErr w:type="spellStart"/>
      <w:r>
        <w:rPr>
          <w:i/>
          <w:iCs/>
        </w:rPr>
        <w:t>Reporting</w:t>
      </w:r>
      <w:proofErr w:type="spellEnd"/>
      <w:r>
        <w:t xml:space="preserve"> – COREP) para calcular a taxa de supervisão. Os devedores de taxa têm também a opção de excluir o contributo de filiais estabelecidas em países não participantes no MUS para apenas um dos dois fatores de taxa. Por exemplo, um devedor de taxa pode escolher excluir apenas o montante total das posições em risco, sendo que, nesse caso, o BCE espera receber dados sobre o fator de taxa relativo ao montante total das posições em risco através do processo separado de recolha de dados e reutilizará os dados dispon</w:t>
      </w:r>
      <w:r w:rsidR="009E21D6">
        <w:t>ibilizados</w:t>
      </w:r>
      <w:r>
        <w:t xml:space="preserve"> através do FINREP para determinar o fator de taxa referente ao total dos ativos, de acordo com o artigo 3.º, n.º 1, alínea b), da Decisão (UE) 2019/2158 (BCE/2019/38).</w:t>
      </w:r>
    </w:p>
    <w:p w:rsidR="00D55477" w:rsidRPr="0017289D" w:rsidRDefault="00D55477" w:rsidP="00D55477">
      <w:pPr>
        <w:pStyle w:val="ECBBodyText"/>
        <w:rPr>
          <w:rFonts w:ascii="Verdana" w:hAnsi="Verdana" w:cs="Verdana"/>
          <w:color w:val="000000"/>
          <w:szCs w:val="20"/>
        </w:rPr>
      </w:pPr>
    </w:p>
    <w:p w:rsidR="00512A63" w:rsidRPr="0017289D" w:rsidRDefault="00512A63" w:rsidP="00D55477">
      <w:pPr>
        <w:pStyle w:val="ECBBodyText"/>
      </w:pPr>
    </w:p>
    <w:p w:rsidR="00857BF7" w:rsidRPr="0017289D" w:rsidRDefault="00857BF7" w:rsidP="0017289D">
      <w:pPr>
        <w:pStyle w:val="Default"/>
        <w:rPr>
          <w:b/>
          <w:bCs/>
          <w:color w:val="0046AC"/>
          <w:sz w:val="22"/>
          <w:szCs w:val="22"/>
        </w:rPr>
      </w:pPr>
    </w:p>
    <w:p w:rsidR="00512A63" w:rsidRPr="0017289D" w:rsidRDefault="00BD6005" w:rsidP="00070969">
      <w:pPr>
        <w:pStyle w:val="Default"/>
        <w:jc w:val="center"/>
        <w:rPr>
          <w:color w:val="0046AC"/>
          <w:sz w:val="22"/>
          <w:szCs w:val="22"/>
        </w:rPr>
      </w:pPr>
      <w:r>
        <w:rPr>
          <w:b/>
          <w:bCs/>
          <w:color w:val="0046AC"/>
          <w:sz w:val="22"/>
          <w:szCs w:val="22"/>
        </w:rPr>
        <w:t>Modelo para notificação da intenção de excluir os ativos e/ou o montante das posições em risco de filiais de grupos supervisionados estabelecidas em países não participantes no MUS</w:t>
      </w:r>
    </w:p>
    <w:p w:rsidR="00512A63" w:rsidRPr="0017289D" w:rsidRDefault="00512A63" w:rsidP="00512A63">
      <w:pPr>
        <w:pStyle w:val="Default"/>
        <w:rPr>
          <w:sz w:val="20"/>
          <w:szCs w:val="20"/>
        </w:rPr>
      </w:pPr>
    </w:p>
    <w:p w:rsidR="004D487B" w:rsidRPr="0017289D" w:rsidRDefault="004D487B" w:rsidP="00512A63">
      <w:pPr>
        <w:pStyle w:val="Default"/>
        <w:rPr>
          <w:sz w:val="20"/>
          <w:szCs w:val="20"/>
        </w:rPr>
      </w:pPr>
    </w:p>
    <w:p w:rsidR="004D487B" w:rsidRPr="0017289D" w:rsidRDefault="004D487B" w:rsidP="00512A63">
      <w:pPr>
        <w:pStyle w:val="Default"/>
        <w:rPr>
          <w:rFonts w:ascii="Arial" w:hAnsi="Arial" w:cs="Arial"/>
          <w:sz w:val="20"/>
          <w:szCs w:val="20"/>
        </w:rPr>
        <w:sectPr w:rsidR="004D487B" w:rsidRPr="0017289D" w:rsidSect="00231031">
          <w:footerReference w:type="default" r:id="rId16"/>
          <w:type w:val="continuous"/>
          <w:pgSz w:w="11907" w:h="16840" w:code="9"/>
          <w:pgMar w:top="2268" w:right="1134" w:bottom="2268" w:left="1418" w:header="567" w:footer="510" w:gutter="0"/>
          <w:cols w:space="720"/>
          <w:formProt w:val="0"/>
          <w:titlePg/>
        </w:sectPr>
      </w:pPr>
    </w:p>
    <w:p w:rsidR="004D487B" w:rsidRPr="0017289D" w:rsidRDefault="00CD15B0" w:rsidP="00512A63">
      <w:pPr>
        <w:pStyle w:val="Default"/>
        <w:rPr>
          <w:rFonts w:ascii="Arial" w:hAnsi="Arial" w:cs="Arial"/>
          <w:sz w:val="20"/>
          <w:szCs w:val="20"/>
        </w:rPr>
      </w:pPr>
      <w:r>
        <w:rPr>
          <w:rFonts w:ascii="Arial" w:hAnsi="Arial"/>
          <w:sz w:val="20"/>
          <w:szCs w:val="20"/>
        </w:rPr>
        <w:lastRenderedPageBreak/>
        <w:t>[Nome do devedor de taxa]</w:t>
      </w:r>
    </w:p>
    <w:p w:rsidR="004D487B" w:rsidRPr="0017289D" w:rsidRDefault="00CD15B0" w:rsidP="00512A63">
      <w:pPr>
        <w:pStyle w:val="Default"/>
        <w:rPr>
          <w:rFonts w:ascii="Arial" w:hAnsi="Arial" w:cs="Arial"/>
          <w:sz w:val="20"/>
          <w:szCs w:val="20"/>
        </w:rPr>
      </w:pPr>
      <w:r>
        <w:rPr>
          <w:rFonts w:ascii="Arial" w:hAnsi="Arial"/>
          <w:sz w:val="20"/>
          <w:szCs w:val="20"/>
        </w:rPr>
        <w:t>[Nome da pessoa de contacto]</w:t>
      </w:r>
    </w:p>
    <w:p w:rsidR="004D487B" w:rsidRPr="0017289D" w:rsidRDefault="00CD15B0" w:rsidP="004D487B">
      <w:pPr>
        <w:pStyle w:val="Default"/>
        <w:rPr>
          <w:rFonts w:ascii="Arial" w:hAnsi="Arial" w:cs="Arial"/>
          <w:sz w:val="20"/>
          <w:szCs w:val="20"/>
        </w:rPr>
      </w:pPr>
      <w:r>
        <w:rPr>
          <w:rFonts w:ascii="Arial" w:hAnsi="Arial"/>
          <w:sz w:val="20"/>
          <w:szCs w:val="20"/>
        </w:rPr>
        <w:t xml:space="preserve">[Departamento] </w:t>
      </w:r>
    </w:p>
    <w:p w:rsidR="00697773" w:rsidRPr="0017289D" w:rsidRDefault="00697773" w:rsidP="00697773">
      <w:pPr>
        <w:pStyle w:val="Default"/>
        <w:rPr>
          <w:rFonts w:ascii="Arial" w:hAnsi="Arial" w:cs="Arial"/>
          <w:sz w:val="20"/>
          <w:szCs w:val="20"/>
        </w:rPr>
      </w:pPr>
      <w:r>
        <w:rPr>
          <w:rFonts w:ascii="Arial" w:hAnsi="Arial"/>
          <w:sz w:val="20"/>
          <w:szCs w:val="20"/>
        </w:rPr>
        <w:t xml:space="preserve">[Morada e endereço de correio eletrónico] </w:t>
      </w: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697773" w:rsidRDefault="00697773" w:rsidP="004D487B">
      <w:pPr>
        <w:pStyle w:val="Default"/>
        <w:rPr>
          <w:rFonts w:ascii="Arial" w:hAnsi="Arial" w:cs="Arial"/>
          <w:sz w:val="20"/>
          <w:szCs w:val="20"/>
        </w:rPr>
      </w:pPr>
    </w:p>
    <w:p w:rsidR="004D487B" w:rsidRPr="0017289D" w:rsidRDefault="004D487B" w:rsidP="004D487B">
      <w:pPr>
        <w:pStyle w:val="Default"/>
        <w:rPr>
          <w:rFonts w:ascii="Arial" w:hAnsi="Arial" w:cs="Arial"/>
          <w:sz w:val="20"/>
          <w:szCs w:val="20"/>
        </w:rPr>
      </w:pPr>
    </w:p>
    <w:p w:rsidR="004D487B" w:rsidRPr="00697773" w:rsidRDefault="004D487B" w:rsidP="00697773">
      <w:pPr>
        <w:pStyle w:val="Default"/>
        <w:rPr>
          <w:rFonts w:ascii="Arial" w:hAnsi="Arial" w:cs="Arial"/>
          <w:sz w:val="20"/>
          <w:szCs w:val="20"/>
        </w:rPr>
        <w:sectPr w:rsidR="004D487B" w:rsidRPr="00697773" w:rsidSect="004D487B">
          <w:type w:val="continuous"/>
          <w:pgSz w:w="11907" w:h="16840" w:code="9"/>
          <w:pgMar w:top="2268" w:right="1134" w:bottom="2268" w:left="1418" w:header="567" w:footer="510" w:gutter="0"/>
          <w:cols w:num="2" w:space="720"/>
          <w:formProt w:val="0"/>
          <w:titlePg/>
        </w:sectPr>
      </w:pPr>
    </w:p>
    <w:p w:rsidR="00512A63" w:rsidRPr="0017289D" w:rsidRDefault="00697773" w:rsidP="00F90002">
      <w:pPr>
        <w:pStyle w:val="ECBBodyText"/>
        <w:jc w:val="center"/>
        <w:rPr>
          <w:rFonts w:cs="Arial"/>
          <w:b/>
          <w:bCs/>
          <w:szCs w:val="20"/>
        </w:rPr>
      </w:pPr>
      <w:r>
        <w:rPr>
          <w:b/>
          <w:bCs/>
          <w:szCs w:val="20"/>
        </w:rPr>
        <w:lastRenderedPageBreak/>
        <w:t>Notificação da intenção de excluir os ativos e/ou o montante das posições em risco de filiais de grupos supervisionados estabelecidas em países não participantes no MUS para efeitos de cálculo da taxa de supervisão do BCE relativa a AAAA</w:t>
      </w:r>
    </w:p>
    <w:tbl>
      <w:tblPr>
        <w:tblStyle w:val="TableGrid"/>
        <w:tblW w:w="0" w:type="auto"/>
        <w:tblLook w:val="04A0" w:firstRow="1" w:lastRow="0" w:firstColumn="1" w:lastColumn="0" w:noHBand="0" w:noVBand="1"/>
      </w:tblPr>
      <w:tblGrid>
        <w:gridCol w:w="4928"/>
        <w:gridCol w:w="4643"/>
      </w:tblGrid>
      <w:tr w:rsidR="000D530E" w:rsidRPr="0017289D" w:rsidTr="00C856C7">
        <w:trPr>
          <w:trHeight w:val="57"/>
        </w:trPr>
        <w:tc>
          <w:tcPr>
            <w:tcW w:w="4928" w:type="dxa"/>
            <w:vAlign w:val="center"/>
          </w:tcPr>
          <w:p w:rsidR="000D530E" w:rsidRPr="0017289D" w:rsidRDefault="000D530E" w:rsidP="00DD3B2D">
            <w:pPr>
              <w:pStyle w:val="ECBBodyText"/>
              <w:spacing w:before="0" w:after="0" w:line="300" w:lineRule="exact"/>
              <w:jc w:val="center"/>
              <w:rPr>
                <w:rFonts w:cs="Arial"/>
                <w:sz w:val="18"/>
                <w:szCs w:val="18"/>
              </w:rPr>
            </w:pPr>
            <w:r>
              <w:rPr>
                <w:sz w:val="18"/>
                <w:szCs w:val="18"/>
              </w:rPr>
              <w:t>Nome do devedor de taxa:</w:t>
            </w:r>
          </w:p>
        </w:tc>
        <w:tc>
          <w:tcPr>
            <w:tcW w:w="4643" w:type="dxa"/>
            <w:vAlign w:val="center"/>
          </w:tcPr>
          <w:p w:rsidR="000D530E" w:rsidRPr="0017289D" w:rsidRDefault="000D530E" w:rsidP="00794102">
            <w:pPr>
              <w:pStyle w:val="ECBBodyText"/>
              <w:spacing w:before="0" w:after="0" w:line="300" w:lineRule="exact"/>
              <w:jc w:val="center"/>
              <w:rPr>
                <w:rFonts w:cs="Arial"/>
                <w:sz w:val="18"/>
                <w:szCs w:val="18"/>
              </w:rPr>
            </w:pPr>
            <w:r>
              <w:rPr>
                <w:sz w:val="18"/>
                <w:szCs w:val="18"/>
              </w:rPr>
              <w:t>[Nome]</w:t>
            </w:r>
          </w:p>
        </w:tc>
      </w:tr>
      <w:tr w:rsidR="00AA12FD" w:rsidRPr="0017289D" w:rsidTr="00C856C7">
        <w:trPr>
          <w:trHeight w:val="57"/>
        </w:trPr>
        <w:tc>
          <w:tcPr>
            <w:tcW w:w="4928" w:type="dxa"/>
            <w:vAlign w:val="center"/>
          </w:tcPr>
          <w:p w:rsidR="00AA12FD" w:rsidRPr="00DD3B2D" w:rsidRDefault="00AA12FD" w:rsidP="00F12E71">
            <w:pPr>
              <w:pStyle w:val="ECBBodyText"/>
              <w:spacing w:before="0" w:after="0" w:line="300" w:lineRule="exact"/>
              <w:jc w:val="center"/>
              <w:rPr>
                <w:rFonts w:cs="Arial"/>
                <w:sz w:val="18"/>
                <w:szCs w:val="18"/>
              </w:rPr>
            </w:pPr>
            <w:r>
              <w:rPr>
                <w:sz w:val="18"/>
                <w:szCs w:val="18"/>
              </w:rPr>
              <w:t>Identificador de entidade jurídica (LEI) do devedor de taxa:</w:t>
            </w:r>
          </w:p>
        </w:tc>
        <w:tc>
          <w:tcPr>
            <w:tcW w:w="4643" w:type="dxa"/>
            <w:vAlign w:val="center"/>
          </w:tcPr>
          <w:p w:rsidR="00AA12FD" w:rsidRPr="0017289D" w:rsidRDefault="00AA12FD" w:rsidP="00DD3B2D">
            <w:pPr>
              <w:pStyle w:val="ECBBodyText"/>
              <w:spacing w:before="0" w:after="0" w:line="300" w:lineRule="exact"/>
              <w:jc w:val="center"/>
              <w:rPr>
                <w:rFonts w:cs="Arial"/>
                <w:sz w:val="18"/>
                <w:szCs w:val="18"/>
              </w:rPr>
            </w:pPr>
            <w:r>
              <w:rPr>
                <w:sz w:val="18"/>
                <w:szCs w:val="18"/>
              </w:rPr>
              <w:t>[XXXXXXXXXXXXXXXXXXXX]</w:t>
            </w:r>
          </w:p>
        </w:tc>
      </w:tr>
      <w:tr w:rsidR="00DD3B2D" w:rsidRPr="0017289D" w:rsidTr="00C856C7">
        <w:trPr>
          <w:trHeight w:val="57"/>
        </w:trPr>
        <w:tc>
          <w:tcPr>
            <w:tcW w:w="4928" w:type="dxa"/>
          </w:tcPr>
          <w:p w:rsidR="00DD3B2D" w:rsidRPr="0017289D" w:rsidRDefault="00DD3B2D" w:rsidP="001C731A">
            <w:pPr>
              <w:pStyle w:val="Default"/>
              <w:spacing w:line="300" w:lineRule="exact"/>
              <w:jc w:val="center"/>
              <w:rPr>
                <w:rFonts w:ascii="Arial" w:hAnsi="Arial" w:cs="Arial"/>
                <w:sz w:val="18"/>
                <w:szCs w:val="18"/>
              </w:rPr>
            </w:pPr>
            <w:r>
              <w:rPr>
                <w:rFonts w:ascii="Arial" w:hAnsi="Arial"/>
                <w:sz w:val="18"/>
                <w:szCs w:val="18"/>
              </w:rPr>
              <w:t>Nome do grupo supervisionado:</w:t>
            </w:r>
          </w:p>
        </w:tc>
        <w:tc>
          <w:tcPr>
            <w:tcW w:w="4643" w:type="dxa"/>
          </w:tcPr>
          <w:p w:rsidR="00DD3B2D" w:rsidRPr="0017289D" w:rsidRDefault="00DD3B2D" w:rsidP="001C731A">
            <w:pPr>
              <w:pStyle w:val="ECBBodyText"/>
              <w:spacing w:before="0" w:after="0" w:line="300" w:lineRule="exact"/>
              <w:jc w:val="center"/>
              <w:rPr>
                <w:rFonts w:cs="Arial"/>
                <w:sz w:val="18"/>
                <w:szCs w:val="18"/>
              </w:rPr>
            </w:pPr>
            <w:r>
              <w:rPr>
                <w:sz w:val="18"/>
                <w:szCs w:val="18"/>
              </w:rPr>
              <w:t>[Nome]</w:t>
            </w:r>
            <w:bookmarkStart w:id="1" w:name="_Ref35874756"/>
            <w:r>
              <w:rPr>
                <w:rStyle w:val="FootnoteReference"/>
                <w:rFonts w:cs="Arial"/>
                <w:sz w:val="18"/>
                <w:szCs w:val="18"/>
              </w:rPr>
              <w:footnoteReference w:id="2"/>
            </w:r>
            <w:bookmarkEnd w:id="1"/>
          </w:p>
        </w:tc>
      </w:tr>
      <w:tr w:rsidR="00DD3B2D" w:rsidRPr="0017289D" w:rsidTr="00C856C7">
        <w:trPr>
          <w:trHeight w:val="113"/>
        </w:trPr>
        <w:tc>
          <w:tcPr>
            <w:tcW w:w="4928" w:type="dxa"/>
            <w:vAlign w:val="center"/>
          </w:tcPr>
          <w:p w:rsidR="00DD3B2D" w:rsidRPr="00DD3B2D" w:rsidRDefault="00DD3B2D" w:rsidP="00F12E71">
            <w:pPr>
              <w:pStyle w:val="ECBBodyText"/>
              <w:spacing w:before="0" w:after="0" w:line="300" w:lineRule="exact"/>
              <w:jc w:val="center"/>
              <w:rPr>
                <w:rFonts w:cs="Arial"/>
                <w:sz w:val="18"/>
                <w:szCs w:val="18"/>
              </w:rPr>
            </w:pPr>
            <w:r>
              <w:rPr>
                <w:sz w:val="18"/>
                <w:szCs w:val="18"/>
              </w:rPr>
              <w:t>LEI</w:t>
            </w:r>
            <w:r w:rsidR="00894AE1">
              <w:rPr>
                <w:rStyle w:val="FootnoteReference"/>
                <w:rFonts w:cs="Arial"/>
                <w:sz w:val="18"/>
                <w:szCs w:val="18"/>
              </w:rPr>
              <w:footnoteReference w:id="3"/>
            </w:r>
            <w:r>
              <w:rPr>
                <w:sz w:val="18"/>
                <w:szCs w:val="18"/>
              </w:rPr>
              <w:t xml:space="preserve"> do grupo supervisionado:</w:t>
            </w:r>
          </w:p>
        </w:tc>
        <w:tc>
          <w:tcPr>
            <w:tcW w:w="4643" w:type="dxa"/>
            <w:vAlign w:val="center"/>
          </w:tcPr>
          <w:p w:rsidR="00DD3B2D" w:rsidRPr="0017289D" w:rsidRDefault="00DD3B2D" w:rsidP="00EC0FA9">
            <w:pPr>
              <w:pStyle w:val="ECBBodyText"/>
              <w:spacing w:before="0" w:after="0" w:line="300" w:lineRule="exact"/>
              <w:jc w:val="center"/>
              <w:rPr>
                <w:rFonts w:cs="Arial"/>
                <w:sz w:val="18"/>
                <w:szCs w:val="18"/>
              </w:rPr>
            </w:pPr>
            <w:r>
              <w:rPr>
                <w:sz w:val="18"/>
                <w:szCs w:val="18"/>
              </w:rPr>
              <w:t>[XXXXXXXXXXXXXXXXXXXX]</w:t>
            </w:r>
            <w:r w:rsidR="00EC0FA9">
              <w:rPr>
                <w:rStyle w:val="FootnoteReference"/>
                <w:rFonts w:cs="Arial"/>
                <w:sz w:val="18"/>
                <w:szCs w:val="18"/>
              </w:rPr>
              <w:footnoteReference w:id="4"/>
            </w:r>
          </w:p>
        </w:tc>
      </w:tr>
      <w:tr w:rsidR="000D530E" w:rsidRPr="0017289D" w:rsidTr="00C856C7">
        <w:trPr>
          <w:trHeight w:val="57"/>
        </w:trPr>
        <w:tc>
          <w:tcPr>
            <w:tcW w:w="4928" w:type="dxa"/>
            <w:vAlign w:val="center"/>
          </w:tcPr>
          <w:p w:rsidR="000D530E" w:rsidRPr="0017289D" w:rsidRDefault="00F06ED0" w:rsidP="00CB2C03">
            <w:pPr>
              <w:pStyle w:val="ECBBodyText"/>
              <w:spacing w:before="0" w:after="0" w:line="300" w:lineRule="exact"/>
              <w:jc w:val="center"/>
              <w:rPr>
                <w:rFonts w:cs="Arial"/>
                <w:sz w:val="18"/>
                <w:szCs w:val="18"/>
              </w:rPr>
            </w:pPr>
            <w:r>
              <w:rPr>
                <w:sz w:val="18"/>
                <w:szCs w:val="18"/>
              </w:rPr>
              <w:t>Excluir o contributo de filiais estabelecidas em países não</w:t>
            </w:r>
            <w:r w:rsidR="00CB2C03">
              <w:rPr>
                <w:sz w:val="18"/>
                <w:szCs w:val="18"/>
              </w:rPr>
              <w:t> </w:t>
            </w:r>
            <w:r>
              <w:rPr>
                <w:sz w:val="18"/>
                <w:szCs w:val="18"/>
              </w:rPr>
              <w:t>participantes no MUS para o:</w:t>
            </w:r>
          </w:p>
        </w:tc>
        <w:tc>
          <w:tcPr>
            <w:tcW w:w="4643" w:type="dxa"/>
            <w:vAlign w:val="center"/>
          </w:tcPr>
          <w:p w:rsidR="00B10D8F" w:rsidRDefault="00074997" w:rsidP="00B10D8F">
            <w:pPr>
              <w:pStyle w:val="ECBBodyText"/>
              <w:spacing w:before="0" w:after="0" w:line="300" w:lineRule="exact"/>
              <w:jc w:val="center"/>
              <w:rPr>
                <w:rFonts w:cs="Arial"/>
                <w:sz w:val="18"/>
                <w:szCs w:val="18"/>
              </w:rPr>
            </w:pPr>
            <w:r>
              <w:rPr>
                <w:sz w:val="18"/>
                <w:szCs w:val="18"/>
              </w:rPr>
              <w:t>[Selecionar uma ou ambas as opções, consoante</w:t>
            </w:r>
            <w:r w:rsidR="00CB2C03">
              <w:rPr>
                <w:sz w:val="18"/>
                <w:szCs w:val="18"/>
              </w:rPr>
              <w:t> </w:t>
            </w:r>
            <w:r>
              <w:rPr>
                <w:sz w:val="18"/>
                <w:szCs w:val="18"/>
              </w:rPr>
              <w:t>aplicável]</w:t>
            </w:r>
          </w:p>
          <w:p w:rsidR="00B10D8F" w:rsidRDefault="00D23847" w:rsidP="00B10D8F">
            <w:pPr>
              <w:pStyle w:val="ECBBodyText"/>
              <w:spacing w:before="0" w:after="0" w:line="300" w:lineRule="exact"/>
              <w:jc w:val="center"/>
              <w:rPr>
                <w:rFonts w:cs="Arial"/>
                <w:sz w:val="18"/>
                <w:szCs w:val="18"/>
              </w:rPr>
            </w:pPr>
            <w:sdt>
              <w:sdtPr>
                <w:rPr>
                  <w:rFonts w:cs="Arial"/>
                  <w:sz w:val="18"/>
                  <w:szCs w:val="18"/>
                </w:rPr>
                <w:id w:val="1688636521"/>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Fator de taxa relativo ao total de posições em risco</w:t>
            </w:r>
            <w:r w:rsidR="00D76680">
              <w:rPr>
                <w:sz w:val="18"/>
                <w:szCs w:val="18"/>
                <w:u w:val="single"/>
              </w:rPr>
              <w:t xml:space="preserve"> </w:t>
            </w:r>
          </w:p>
          <w:p w:rsidR="00AF0B4A" w:rsidRPr="0017289D" w:rsidRDefault="00D23847" w:rsidP="00011287">
            <w:pPr>
              <w:pStyle w:val="ECBBodyText"/>
              <w:spacing w:before="0" w:after="0" w:line="300" w:lineRule="exact"/>
              <w:jc w:val="center"/>
              <w:rPr>
                <w:rFonts w:cs="Arial"/>
                <w:sz w:val="18"/>
                <w:szCs w:val="18"/>
              </w:rPr>
            </w:pPr>
            <w:sdt>
              <w:sdtPr>
                <w:rPr>
                  <w:rFonts w:cs="Arial"/>
                  <w:sz w:val="18"/>
                  <w:szCs w:val="18"/>
                </w:rPr>
                <w:id w:val="-510299267"/>
                <w14:checkbox>
                  <w14:checked w14:val="0"/>
                  <w14:checkedState w14:val="2612" w14:font="MS Gothic"/>
                  <w14:uncheckedState w14:val="2610" w14:font="MS Gothic"/>
                </w14:checkbox>
              </w:sdtPr>
              <w:sdtEndPr/>
              <w:sdtContent>
                <w:r w:rsidR="00F90002">
                  <w:rPr>
                    <w:rFonts w:ascii="MS Gothic" w:eastAsia="MS Gothic" w:hAnsi="MS Gothic" w:cs="Arial" w:hint="eastAsia"/>
                    <w:sz w:val="18"/>
                    <w:szCs w:val="18"/>
                  </w:rPr>
                  <w:t>☐</w:t>
                </w:r>
              </w:sdtContent>
            </w:sdt>
            <w:r w:rsidR="00D76680">
              <w:rPr>
                <w:sz w:val="18"/>
                <w:szCs w:val="18"/>
              </w:rPr>
              <w:t xml:space="preserve"> Fator de taxa relativo ao total de ativos</w:t>
            </w:r>
          </w:p>
        </w:tc>
      </w:tr>
      <w:tr w:rsidR="000D530E" w:rsidRPr="0017289D" w:rsidTr="00C856C7">
        <w:trPr>
          <w:trHeight w:val="57"/>
        </w:trPr>
        <w:tc>
          <w:tcPr>
            <w:tcW w:w="4928" w:type="dxa"/>
            <w:vAlign w:val="center"/>
          </w:tcPr>
          <w:p w:rsidR="000D530E" w:rsidRPr="0017289D" w:rsidRDefault="00DD3B2D" w:rsidP="00794102">
            <w:pPr>
              <w:pStyle w:val="ECBBodyText"/>
              <w:spacing w:before="0" w:after="0" w:line="300" w:lineRule="exact"/>
              <w:jc w:val="center"/>
              <w:rPr>
                <w:rFonts w:cs="Arial"/>
                <w:sz w:val="18"/>
                <w:szCs w:val="18"/>
              </w:rPr>
            </w:pPr>
            <w:r>
              <w:rPr>
                <w:sz w:val="18"/>
                <w:szCs w:val="18"/>
              </w:rPr>
              <w:t>Data de envio ao BCE:</w:t>
            </w:r>
          </w:p>
        </w:tc>
        <w:tc>
          <w:tcPr>
            <w:tcW w:w="4643" w:type="dxa"/>
            <w:vAlign w:val="center"/>
          </w:tcPr>
          <w:p w:rsidR="000D530E" w:rsidRPr="0017289D" w:rsidRDefault="00B55624" w:rsidP="00CD15B0">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/mm/</w:t>
            </w:r>
            <w:proofErr w:type="spellStart"/>
            <w:r>
              <w:rPr>
                <w:sz w:val="18"/>
                <w:szCs w:val="18"/>
              </w:rPr>
              <w:t>aaaa</w:t>
            </w:r>
            <w:proofErr w:type="spellEnd"/>
            <w:r>
              <w:rPr>
                <w:sz w:val="18"/>
                <w:szCs w:val="18"/>
              </w:rPr>
              <w:t>]</w:t>
            </w:r>
          </w:p>
        </w:tc>
      </w:tr>
    </w:tbl>
    <w:p w:rsidR="007212DB" w:rsidRDefault="007212DB" w:rsidP="007212DB">
      <w:pPr>
        <w:rPr>
          <w:rFonts w:cs="Arial"/>
          <w:b/>
          <w:bCs/>
          <w:szCs w:val="20"/>
        </w:rPr>
      </w:pPr>
    </w:p>
    <w:p w:rsidR="00DD3B2D" w:rsidRDefault="00DD3B2D" w:rsidP="007212DB">
      <w:pPr>
        <w:rPr>
          <w:rFonts w:cs="Arial"/>
          <w:b/>
          <w:bCs/>
          <w:szCs w:val="20"/>
        </w:rPr>
      </w:pPr>
    </w:p>
    <w:p w:rsidR="00F90002" w:rsidRPr="00F90002" w:rsidRDefault="00F90002" w:rsidP="00F90002"/>
    <w:p w:rsidR="000D530E" w:rsidRPr="00F90002" w:rsidRDefault="000D530E" w:rsidP="00F90002">
      <w:pPr>
        <w:tabs>
          <w:tab w:val="left" w:pos="3851"/>
        </w:tabs>
      </w:pPr>
    </w:p>
    <w:sectPr w:rsidR="000D530E" w:rsidRPr="00F90002"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DB8" w:rsidRDefault="00DD4DB8">
      <w:pPr>
        <w:spacing w:before="0" w:after="0" w:line="240" w:lineRule="auto"/>
      </w:pPr>
      <w:r>
        <w:separator/>
      </w:r>
    </w:p>
  </w:endnote>
  <w:endnote w:type="continuationSeparator" w:id="0">
    <w:p w:rsidR="00DD4DB8" w:rsidRDefault="00DD4D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Latvju Raksti B TL"/>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03" w:rsidRDefault="00CB2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417113">
      <w:rPr>
        <w:sz w:val="14"/>
      </w:rPr>
      <w:t>Template for management letter.docx</w:t>
    </w:r>
    <w:r w:rsidRPr="00264109">
      <w:rPr>
        <w:sz w:val="14"/>
      </w:rPr>
      <w:fldChar w:fldCharType="end"/>
    </w:r>
    <w:r>
      <w:rPr>
        <w:sz w:val="14"/>
      </w:rPr>
      <w:tab/>
    </w:r>
    <w:r>
      <w:t xml:space="preserve">Página </w:t>
    </w:r>
    <w:r>
      <w:fldChar w:fldCharType="begin"/>
    </w:r>
    <w:r>
      <w:instrText xml:space="preserve"> PAGE </w:instrText>
    </w:r>
    <w:r>
      <w:fldChar w:fldCharType="separate"/>
    </w:r>
    <w:r>
      <w:t>1</w:t>
    </w:r>
    <w:r>
      <w:fldChar w:fldCharType="end"/>
    </w:r>
    <w:r>
      <w:t xml:space="preserve"> de </w:t>
    </w:r>
    <w:r>
      <w:fldChar w:fldCharType="begin"/>
    </w:r>
    <w:r>
      <w:instrText xml:space="preserve"> NUMPAGES </w:instrText>
    </w:r>
    <w:r>
      <w:fldChar w:fldCharType="separate"/>
    </w:r>
    <w:r w:rsidR="00417113">
      <w:t>1</w:t>
    </w:r>
    <w:r>
      <w:fldChar w:fldCharType="end"/>
    </w:r>
  </w:p>
  <w:p w:rsidR="00570348" w:rsidRDefault="00570348" w:rsidP="00143A07">
    <w:pPr>
      <w:pStyle w:val="Footer"/>
      <w:jc w:val="both"/>
    </w:pPr>
    <w:r>
      <w:tab/>
    </w:r>
    <w:r>
      <w:rPr>
        <w:sz w:val="12"/>
        <w:szCs w:val="12"/>
      </w:rPr>
      <w:t xml:space="preserve">Última impressão: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417113">
      <w:rPr>
        <w:sz w:val="12"/>
        <w:szCs w:val="12"/>
      </w:rPr>
      <w:t>27/11/2019 10:40:00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Página </w:t>
    </w:r>
    <w:r w:rsidRPr="00D445EB">
      <w:rPr>
        <w:szCs w:val="17"/>
      </w:rPr>
      <w:fldChar w:fldCharType="begin"/>
    </w:r>
    <w:r w:rsidRPr="00D445EB">
      <w:rPr>
        <w:szCs w:val="17"/>
      </w:rPr>
      <w:instrText xml:space="preserve"> PAGE </w:instrText>
    </w:r>
    <w:r w:rsidRPr="00D445EB">
      <w:rPr>
        <w:szCs w:val="17"/>
      </w:rPr>
      <w:fldChar w:fldCharType="separate"/>
    </w:r>
    <w:r w:rsidR="009E21D6">
      <w:rPr>
        <w:szCs w:val="17"/>
      </w:rPr>
      <w:t>1</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9E21D6">
      <w:rPr>
        <w:szCs w:val="17"/>
      </w:rPr>
      <w:t>2</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Página </w:t>
    </w:r>
    <w:r w:rsidRPr="00D445EB">
      <w:rPr>
        <w:szCs w:val="17"/>
      </w:rPr>
      <w:fldChar w:fldCharType="begin"/>
    </w:r>
    <w:r w:rsidRPr="00D445EB">
      <w:rPr>
        <w:szCs w:val="17"/>
      </w:rPr>
      <w:instrText xml:space="preserve"> PAGE </w:instrText>
    </w:r>
    <w:r w:rsidRPr="00D445EB">
      <w:rPr>
        <w:szCs w:val="17"/>
      </w:rPr>
      <w:fldChar w:fldCharType="separate"/>
    </w:r>
    <w:r w:rsidR="009E21D6">
      <w:rPr>
        <w:szCs w:val="17"/>
      </w:rPr>
      <w:t>2</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9E21D6">
      <w:rPr>
        <w:szCs w:val="17"/>
      </w:rPr>
      <w:t>2</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DB8" w:rsidRDefault="00DD4DB8">
      <w:pPr>
        <w:spacing w:before="0" w:after="0" w:line="240" w:lineRule="auto"/>
      </w:pPr>
      <w:r>
        <w:separator/>
      </w:r>
    </w:p>
  </w:footnote>
  <w:footnote w:type="continuationSeparator" w:id="0">
    <w:p w:rsidR="00DD4DB8" w:rsidRDefault="00DD4DB8">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w:t>
      </w:r>
      <w:r>
        <w:tab/>
        <w:t>Decisão (UE) 2019/2158 do Banco Central Europeu, de 5 de dezembro de 2019, relativa à metodologia e aos procedimentos para a determinação e recolha de dados no que se refere aos fatores de taxa utilizados no cálculo das taxas de supervisão anuais (BCE/2019/38) (JO L 327 de 17.12.2019, p. 99).</w:t>
      </w:r>
    </w:p>
  </w:footnote>
  <w:footnote w:id="2">
    <w:p w:rsidR="00B10D8F" w:rsidRDefault="00DD3B2D" w:rsidP="00B10D8F">
      <w:pPr>
        <w:pStyle w:val="FootnoteText"/>
        <w:jc w:val="both"/>
      </w:pPr>
      <w:r>
        <w:rPr>
          <w:rStyle w:val="FootnoteReference"/>
        </w:rPr>
        <w:footnoteRef/>
      </w:r>
      <w:r>
        <w:t xml:space="preserve"> </w:t>
      </w:r>
      <w:r>
        <w:tab/>
        <w:t xml:space="preserve">O nome e o LEI correspondem à instituição de crédito sujeita a taxa que representa o nível mais elevado de consolidação no seio do grupo supervisionado. </w:t>
      </w:r>
    </w:p>
    <w:p w:rsidR="00DD3B2D" w:rsidRDefault="00B10D8F" w:rsidP="00B10D8F">
      <w:pPr>
        <w:pStyle w:val="FootnoteText"/>
        <w:jc w:val="both"/>
      </w:pPr>
      <w:r>
        <w:tab/>
        <w:t>Se o devedor de taxa nomeado for o mesmo que a instituição de crédito sujeita a taxa que representa o nível mais elevado de consolidação no seio do grupo supervisionado, o nome e o LEI incluído</w:t>
      </w:r>
      <w:r w:rsidR="009E21D6">
        <w:t>s</w:t>
      </w:r>
      <w:bookmarkStart w:id="2" w:name="_GoBack"/>
      <w:bookmarkEnd w:id="2"/>
      <w:r>
        <w:t xml:space="preserve"> nas linhas 3 e 4 devem ser os mesmos que os incluídos nas linhas 1 e 2. </w:t>
      </w:r>
    </w:p>
  </w:footnote>
  <w:footnote w:id="3">
    <w:p w:rsidR="00894AE1" w:rsidRDefault="00894AE1">
      <w:pPr>
        <w:pStyle w:val="FootnoteText"/>
      </w:pPr>
      <w:r>
        <w:rPr>
          <w:rStyle w:val="FootnoteReference"/>
        </w:rPr>
        <w:footnoteRef/>
      </w:r>
      <w:r>
        <w:t xml:space="preserve"> </w:t>
      </w:r>
      <w:r>
        <w:tab/>
        <w:t xml:space="preserve">Nos casos em que o LEI não está disponível, deve ser inserido o código utilizado no reporte prudencial. </w:t>
      </w:r>
    </w:p>
  </w:footnote>
  <w:footnote w:id="4">
    <w:p w:rsidR="00EC0FA9" w:rsidRDefault="00EC0FA9">
      <w:pPr>
        <w:pStyle w:val="FootnoteText"/>
      </w:pPr>
      <w:r>
        <w:rPr>
          <w:rStyle w:val="FootnoteReference"/>
        </w:rPr>
        <w:footnoteRef/>
      </w:r>
      <w:r>
        <w:t xml:space="preserve"> </w:t>
      </w:r>
      <w:r>
        <w:tab/>
        <w:t>Ver nota de rodapé 2,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C03" w:rsidRDefault="00CB2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CF4291" w:rsidRDefault="00570348" w:rsidP="00CF4291">
    <w:pPr>
      <w:pStyle w:val="Heade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1857205"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57205" cy="792480"/>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11287"/>
    <w:rsid w:val="00027E77"/>
    <w:rsid w:val="00030DDC"/>
    <w:rsid w:val="00043A12"/>
    <w:rsid w:val="00044B75"/>
    <w:rsid w:val="00047929"/>
    <w:rsid w:val="00052081"/>
    <w:rsid w:val="00052170"/>
    <w:rsid w:val="00062E2A"/>
    <w:rsid w:val="00064ABE"/>
    <w:rsid w:val="00070969"/>
    <w:rsid w:val="00071495"/>
    <w:rsid w:val="00074997"/>
    <w:rsid w:val="00086CEA"/>
    <w:rsid w:val="00090E1C"/>
    <w:rsid w:val="00097223"/>
    <w:rsid w:val="000A16E1"/>
    <w:rsid w:val="000A4755"/>
    <w:rsid w:val="000C60DC"/>
    <w:rsid w:val="000D530E"/>
    <w:rsid w:val="000D7970"/>
    <w:rsid w:val="000E1384"/>
    <w:rsid w:val="000F7C86"/>
    <w:rsid w:val="00106FAA"/>
    <w:rsid w:val="0011029F"/>
    <w:rsid w:val="00110E6C"/>
    <w:rsid w:val="00116664"/>
    <w:rsid w:val="00130920"/>
    <w:rsid w:val="00132A11"/>
    <w:rsid w:val="001334C4"/>
    <w:rsid w:val="00133ACA"/>
    <w:rsid w:val="00143A07"/>
    <w:rsid w:val="001501B2"/>
    <w:rsid w:val="001564C0"/>
    <w:rsid w:val="0017289D"/>
    <w:rsid w:val="00185851"/>
    <w:rsid w:val="001930CC"/>
    <w:rsid w:val="001A29C8"/>
    <w:rsid w:val="001C47C6"/>
    <w:rsid w:val="001E279E"/>
    <w:rsid w:val="001F3529"/>
    <w:rsid w:val="001F3701"/>
    <w:rsid w:val="00201470"/>
    <w:rsid w:val="00231031"/>
    <w:rsid w:val="002323F4"/>
    <w:rsid w:val="002461FA"/>
    <w:rsid w:val="0026027A"/>
    <w:rsid w:val="002776C8"/>
    <w:rsid w:val="002845A5"/>
    <w:rsid w:val="002B76C9"/>
    <w:rsid w:val="002C09D7"/>
    <w:rsid w:val="002C1156"/>
    <w:rsid w:val="002D37C3"/>
    <w:rsid w:val="002F18BE"/>
    <w:rsid w:val="002F2D9A"/>
    <w:rsid w:val="002F4143"/>
    <w:rsid w:val="00310D43"/>
    <w:rsid w:val="003155D3"/>
    <w:rsid w:val="00327D10"/>
    <w:rsid w:val="003303C9"/>
    <w:rsid w:val="003508CC"/>
    <w:rsid w:val="00356BA8"/>
    <w:rsid w:val="00371129"/>
    <w:rsid w:val="003730DD"/>
    <w:rsid w:val="0037402E"/>
    <w:rsid w:val="00374A66"/>
    <w:rsid w:val="00377871"/>
    <w:rsid w:val="00386642"/>
    <w:rsid w:val="0038667F"/>
    <w:rsid w:val="00391F0A"/>
    <w:rsid w:val="0039319A"/>
    <w:rsid w:val="003943B3"/>
    <w:rsid w:val="003946B7"/>
    <w:rsid w:val="003A14CF"/>
    <w:rsid w:val="003A7C00"/>
    <w:rsid w:val="003B0E4C"/>
    <w:rsid w:val="003B67A8"/>
    <w:rsid w:val="003C5DD0"/>
    <w:rsid w:val="003D1F4C"/>
    <w:rsid w:val="003D5291"/>
    <w:rsid w:val="003E0659"/>
    <w:rsid w:val="003E7DF1"/>
    <w:rsid w:val="003F1D98"/>
    <w:rsid w:val="003F2EF7"/>
    <w:rsid w:val="003F40C0"/>
    <w:rsid w:val="003F5C2C"/>
    <w:rsid w:val="004022D8"/>
    <w:rsid w:val="004054E0"/>
    <w:rsid w:val="00412057"/>
    <w:rsid w:val="00417113"/>
    <w:rsid w:val="00431846"/>
    <w:rsid w:val="0044592B"/>
    <w:rsid w:val="004501E8"/>
    <w:rsid w:val="00454953"/>
    <w:rsid w:val="0046108E"/>
    <w:rsid w:val="00463994"/>
    <w:rsid w:val="00464590"/>
    <w:rsid w:val="00470EA3"/>
    <w:rsid w:val="004744D6"/>
    <w:rsid w:val="0047738B"/>
    <w:rsid w:val="00480D77"/>
    <w:rsid w:val="00482BED"/>
    <w:rsid w:val="00495916"/>
    <w:rsid w:val="004A44B0"/>
    <w:rsid w:val="004A7B60"/>
    <w:rsid w:val="004B023B"/>
    <w:rsid w:val="004B49E5"/>
    <w:rsid w:val="004B7F4B"/>
    <w:rsid w:val="004D2896"/>
    <w:rsid w:val="004D487B"/>
    <w:rsid w:val="004E368F"/>
    <w:rsid w:val="004E786A"/>
    <w:rsid w:val="004F63C9"/>
    <w:rsid w:val="00510193"/>
    <w:rsid w:val="00512A63"/>
    <w:rsid w:val="00512ED7"/>
    <w:rsid w:val="00516C1C"/>
    <w:rsid w:val="00547B1D"/>
    <w:rsid w:val="005513B3"/>
    <w:rsid w:val="005554FA"/>
    <w:rsid w:val="00561D92"/>
    <w:rsid w:val="00561E33"/>
    <w:rsid w:val="00570348"/>
    <w:rsid w:val="00570770"/>
    <w:rsid w:val="00591635"/>
    <w:rsid w:val="00595255"/>
    <w:rsid w:val="005A05A3"/>
    <w:rsid w:val="005A7C25"/>
    <w:rsid w:val="005B72B9"/>
    <w:rsid w:val="005D0023"/>
    <w:rsid w:val="005D0F51"/>
    <w:rsid w:val="005D4D84"/>
    <w:rsid w:val="005D5049"/>
    <w:rsid w:val="005D5FE4"/>
    <w:rsid w:val="005E7647"/>
    <w:rsid w:val="00600B26"/>
    <w:rsid w:val="006035FB"/>
    <w:rsid w:val="00610542"/>
    <w:rsid w:val="0061212A"/>
    <w:rsid w:val="00613BC7"/>
    <w:rsid w:val="00614F09"/>
    <w:rsid w:val="00615532"/>
    <w:rsid w:val="00615982"/>
    <w:rsid w:val="00617839"/>
    <w:rsid w:val="00625065"/>
    <w:rsid w:val="006374EC"/>
    <w:rsid w:val="00642345"/>
    <w:rsid w:val="00657023"/>
    <w:rsid w:val="0066035A"/>
    <w:rsid w:val="0066782B"/>
    <w:rsid w:val="00682937"/>
    <w:rsid w:val="00694C66"/>
    <w:rsid w:val="00697773"/>
    <w:rsid w:val="006B5EF0"/>
    <w:rsid w:val="006B6013"/>
    <w:rsid w:val="006B6C72"/>
    <w:rsid w:val="006B7E5C"/>
    <w:rsid w:val="006D0D38"/>
    <w:rsid w:val="006E265F"/>
    <w:rsid w:val="006E4069"/>
    <w:rsid w:val="006E7885"/>
    <w:rsid w:val="006F07E2"/>
    <w:rsid w:val="006F35A7"/>
    <w:rsid w:val="006F5290"/>
    <w:rsid w:val="007142B2"/>
    <w:rsid w:val="007158F7"/>
    <w:rsid w:val="00717CB1"/>
    <w:rsid w:val="007212DB"/>
    <w:rsid w:val="00727544"/>
    <w:rsid w:val="007311AB"/>
    <w:rsid w:val="0073490A"/>
    <w:rsid w:val="0073497B"/>
    <w:rsid w:val="00736250"/>
    <w:rsid w:val="00740A78"/>
    <w:rsid w:val="00756A9E"/>
    <w:rsid w:val="007660B8"/>
    <w:rsid w:val="0077153A"/>
    <w:rsid w:val="007842E5"/>
    <w:rsid w:val="00786405"/>
    <w:rsid w:val="007864B5"/>
    <w:rsid w:val="007874F2"/>
    <w:rsid w:val="00790885"/>
    <w:rsid w:val="00794102"/>
    <w:rsid w:val="00795C7B"/>
    <w:rsid w:val="007A046E"/>
    <w:rsid w:val="007A5F67"/>
    <w:rsid w:val="007A718D"/>
    <w:rsid w:val="007B2D62"/>
    <w:rsid w:val="007B6D49"/>
    <w:rsid w:val="007D4453"/>
    <w:rsid w:val="007F001C"/>
    <w:rsid w:val="007F3FFB"/>
    <w:rsid w:val="007F4A1D"/>
    <w:rsid w:val="00802B1E"/>
    <w:rsid w:val="0080475E"/>
    <w:rsid w:val="008139ED"/>
    <w:rsid w:val="0082459E"/>
    <w:rsid w:val="00824D92"/>
    <w:rsid w:val="008258AF"/>
    <w:rsid w:val="008270ED"/>
    <w:rsid w:val="008303C6"/>
    <w:rsid w:val="00834DC7"/>
    <w:rsid w:val="00845158"/>
    <w:rsid w:val="00847BA6"/>
    <w:rsid w:val="00857BF7"/>
    <w:rsid w:val="00860A54"/>
    <w:rsid w:val="008658B0"/>
    <w:rsid w:val="008659CF"/>
    <w:rsid w:val="00870A94"/>
    <w:rsid w:val="00894AE1"/>
    <w:rsid w:val="008A07CE"/>
    <w:rsid w:val="008B29E1"/>
    <w:rsid w:val="008C45CB"/>
    <w:rsid w:val="008D2EC7"/>
    <w:rsid w:val="008E51E8"/>
    <w:rsid w:val="008E600A"/>
    <w:rsid w:val="008E6A8A"/>
    <w:rsid w:val="008E70A3"/>
    <w:rsid w:val="008F68C8"/>
    <w:rsid w:val="00904066"/>
    <w:rsid w:val="00911ED5"/>
    <w:rsid w:val="00925F6D"/>
    <w:rsid w:val="009308D0"/>
    <w:rsid w:val="00941CA3"/>
    <w:rsid w:val="00956863"/>
    <w:rsid w:val="00990B30"/>
    <w:rsid w:val="009A3258"/>
    <w:rsid w:val="009A5777"/>
    <w:rsid w:val="009C4EB9"/>
    <w:rsid w:val="009C6F9F"/>
    <w:rsid w:val="009D2CA3"/>
    <w:rsid w:val="009E21D6"/>
    <w:rsid w:val="009E31D0"/>
    <w:rsid w:val="00A06046"/>
    <w:rsid w:val="00A126CE"/>
    <w:rsid w:val="00A12CA3"/>
    <w:rsid w:val="00A13AAD"/>
    <w:rsid w:val="00A23AC4"/>
    <w:rsid w:val="00A31889"/>
    <w:rsid w:val="00A34601"/>
    <w:rsid w:val="00A37F7E"/>
    <w:rsid w:val="00A44A1A"/>
    <w:rsid w:val="00A67A86"/>
    <w:rsid w:val="00A85B7B"/>
    <w:rsid w:val="00A972A5"/>
    <w:rsid w:val="00AA12FD"/>
    <w:rsid w:val="00AA4E4C"/>
    <w:rsid w:val="00AB48FA"/>
    <w:rsid w:val="00AC4F75"/>
    <w:rsid w:val="00AE7FAD"/>
    <w:rsid w:val="00AF0B4A"/>
    <w:rsid w:val="00AF14DA"/>
    <w:rsid w:val="00AF7FAC"/>
    <w:rsid w:val="00B02CEF"/>
    <w:rsid w:val="00B05455"/>
    <w:rsid w:val="00B10D8F"/>
    <w:rsid w:val="00B14E37"/>
    <w:rsid w:val="00B15D9B"/>
    <w:rsid w:val="00B243A7"/>
    <w:rsid w:val="00B24618"/>
    <w:rsid w:val="00B25CB1"/>
    <w:rsid w:val="00B26D46"/>
    <w:rsid w:val="00B34895"/>
    <w:rsid w:val="00B402CF"/>
    <w:rsid w:val="00B50700"/>
    <w:rsid w:val="00B521B0"/>
    <w:rsid w:val="00B55624"/>
    <w:rsid w:val="00B61E1A"/>
    <w:rsid w:val="00B638EF"/>
    <w:rsid w:val="00B9043D"/>
    <w:rsid w:val="00B92D15"/>
    <w:rsid w:val="00BB0B39"/>
    <w:rsid w:val="00BC51C1"/>
    <w:rsid w:val="00BC7397"/>
    <w:rsid w:val="00BD20B1"/>
    <w:rsid w:val="00BD32C8"/>
    <w:rsid w:val="00BD6005"/>
    <w:rsid w:val="00BE33BA"/>
    <w:rsid w:val="00BF4EF3"/>
    <w:rsid w:val="00C15EE3"/>
    <w:rsid w:val="00C21E50"/>
    <w:rsid w:val="00C2726F"/>
    <w:rsid w:val="00C27ADF"/>
    <w:rsid w:val="00C4544E"/>
    <w:rsid w:val="00C70264"/>
    <w:rsid w:val="00C72471"/>
    <w:rsid w:val="00C823FA"/>
    <w:rsid w:val="00C83B5F"/>
    <w:rsid w:val="00C856C7"/>
    <w:rsid w:val="00C90EE0"/>
    <w:rsid w:val="00C9780F"/>
    <w:rsid w:val="00CA13FC"/>
    <w:rsid w:val="00CA75C5"/>
    <w:rsid w:val="00CB2C03"/>
    <w:rsid w:val="00CB64C7"/>
    <w:rsid w:val="00CB6975"/>
    <w:rsid w:val="00CC6BF3"/>
    <w:rsid w:val="00CC7FEC"/>
    <w:rsid w:val="00CD15B0"/>
    <w:rsid w:val="00CD3012"/>
    <w:rsid w:val="00CE072E"/>
    <w:rsid w:val="00CE494B"/>
    <w:rsid w:val="00CF4291"/>
    <w:rsid w:val="00D23847"/>
    <w:rsid w:val="00D23AA9"/>
    <w:rsid w:val="00D24356"/>
    <w:rsid w:val="00D2531F"/>
    <w:rsid w:val="00D3577B"/>
    <w:rsid w:val="00D41F7C"/>
    <w:rsid w:val="00D42EE5"/>
    <w:rsid w:val="00D445EB"/>
    <w:rsid w:val="00D54FA5"/>
    <w:rsid w:val="00D55477"/>
    <w:rsid w:val="00D57460"/>
    <w:rsid w:val="00D76680"/>
    <w:rsid w:val="00D80272"/>
    <w:rsid w:val="00DA2410"/>
    <w:rsid w:val="00DB0B4F"/>
    <w:rsid w:val="00DB0F6C"/>
    <w:rsid w:val="00DB4B59"/>
    <w:rsid w:val="00DC2BB6"/>
    <w:rsid w:val="00DD3B2D"/>
    <w:rsid w:val="00DD4DB8"/>
    <w:rsid w:val="00DD5341"/>
    <w:rsid w:val="00DD7016"/>
    <w:rsid w:val="00DD7BF1"/>
    <w:rsid w:val="00DE2126"/>
    <w:rsid w:val="00DE3EF6"/>
    <w:rsid w:val="00DF0B06"/>
    <w:rsid w:val="00DF7BEE"/>
    <w:rsid w:val="00E018C9"/>
    <w:rsid w:val="00E0458B"/>
    <w:rsid w:val="00E17FE6"/>
    <w:rsid w:val="00E234AA"/>
    <w:rsid w:val="00E27BC5"/>
    <w:rsid w:val="00E32143"/>
    <w:rsid w:val="00E3435A"/>
    <w:rsid w:val="00E366DE"/>
    <w:rsid w:val="00E464AD"/>
    <w:rsid w:val="00E46E94"/>
    <w:rsid w:val="00E539EA"/>
    <w:rsid w:val="00E54D6D"/>
    <w:rsid w:val="00E55D21"/>
    <w:rsid w:val="00E6106B"/>
    <w:rsid w:val="00E67544"/>
    <w:rsid w:val="00E813A6"/>
    <w:rsid w:val="00E8410E"/>
    <w:rsid w:val="00E93210"/>
    <w:rsid w:val="00E94BAE"/>
    <w:rsid w:val="00E966D8"/>
    <w:rsid w:val="00EA183E"/>
    <w:rsid w:val="00EA7336"/>
    <w:rsid w:val="00EB093E"/>
    <w:rsid w:val="00EC0FA9"/>
    <w:rsid w:val="00EC1971"/>
    <w:rsid w:val="00EC6489"/>
    <w:rsid w:val="00EC6CF5"/>
    <w:rsid w:val="00ED7AEF"/>
    <w:rsid w:val="00F0106A"/>
    <w:rsid w:val="00F05DB2"/>
    <w:rsid w:val="00F06ED0"/>
    <w:rsid w:val="00F074F8"/>
    <w:rsid w:val="00F12E71"/>
    <w:rsid w:val="00F23105"/>
    <w:rsid w:val="00F41923"/>
    <w:rsid w:val="00F41AC4"/>
    <w:rsid w:val="00F44734"/>
    <w:rsid w:val="00F52215"/>
    <w:rsid w:val="00F64296"/>
    <w:rsid w:val="00F754E9"/>
    <w:rsid w:val="00F75813"/>
    <w:rsid w:val="00F872CC"/>
    <w:rsid w:val="00F90002"/>
    <w:rsid w:val="00F90798"/>
    <w:rsid w:val="00FA1511"/>
    <w:rsid w:val="00FB72C2"/>
    <w:rsid w:val="00FD226C"/>
    <w:rsid w:val="00FD4FEF"/>
    <w:rsid w:val="00FE0D1E"/>
    <w:rsid w:val="00FE3218"/>
    <w:rsid w:val="00FF0981"/>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unhideWhenUsed/>
    <w:rsid w:val="00454953"/>
    <w:pPr>
      <w:spacing w:line="240" w:lineRule="auto"/>
    </w:pPr>
    <w:rPr>
      <w:szCs w:val="20"/>
    </w:rPr>
  </w:style>
  <w:style w:type="character" w:customStyle="1" w:styleId="CommentTextChar">
    <w:name w:val="Comment Text Char"/>
    <w:basedOn w:val="DefaultParagraphFont"/>
    <w:link w:val="CommentText"/>
    <w:uiPriority w:val="99"/>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E018C9"/>
    <w:rPr>
      <w:rFonts w:ascii="Arial" w:hAnsi="Arial" w:cs="Sendnya"/>
      <w:szCs w:val="22"/>
    </w:rPr>
  </w:style>
  <w:style w:type="character" w:styleId="Hyperlink">
    <w:name w:val="Hyperlink"/>
    <w:basedOn w:val="DefaultParagraphFont"/>
    <w:uiPriority w:val="99"/>
    <w:unhideWhenUsed/>
    <w:rsid w:val="00697773"/>
    <w:rPr>
      <w:color w:val="0000FF"/>
      <w:u w:val="single"/>
    </w:rPr>
  </w:style>
  <w:style w:type="character" w:styleId="Emphasis">
    <w:name w:val="Emphasis"/>
    <w:basedOn w:val="DefaultParagraphFont"/>
    <w:uiPriority w:val="20"/>
    <w:qFormat/>
    <w:rsid w:val="0057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2164">
      <w:bodyDiv w:val="1"/>
      <w:marLeft w:val="0"/>
      <w:marRight w:val="0"/>
      <w:marTop w:val="0"/>
      <w:marBottom w:val="0"/>
      <w:divBdr>
        <w:top w:val="none" w:sz="0" w:space="0" w:color="auto"/>
        <w:left w:val="none" w:sz="0" w:space="0" w:color="auto"/>
        <w:bottom w:val="none" w:sz="0" w:space="0" w:color="auto"/>
        <w:right w:val="none" w:sz="0" w:space="0" w:color="auto"/>
      </w:divBdr>
    </w:div>
    <w:div w:id="197472727">
      <w:bodyDiv w:val="1"/>
      <w:marLeft w:val="0"/>
      <w:marRight w:val="0"/>
      <w:marTop w:val="0"/>
      <w:marBottom w:val="0"/>
      <w:divBdr>
        <w:top w:val="none" w:sz="0" w:space="0" w:color="auto"/>
        <w:left w:val="none" w:sz="0" w:space="0" w:color="auto"/>
        <w:bottom w:val="none" w:sz="0" w:space="0" w:color="auto"/>
        <w:right w:val="none" w:sz="0" w:space="0" w:color="auto"/>
      </w:divBdr>
    </w:div>
    <w:div w:id="21003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SM-fee-enquiries@ecb.europa.e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B547-DB1E-4C69-8E1F-C5437BD0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554</Words>
  <Characters>2916</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Flache, Laurence</dc:creator>
  <cp:lastModifiedBy>luisleo</cp:lastModifiedBy>
  <cp:revision>6</cp:revision>
  <dcterms:created xsi:type="dcterms:W3CDTF">2020-05-06T09:27:00Z</dcterms:created>
  <dcterms:modified xsi:type="dcterms:W3CDTF">2020-05-07T09:04:00Z</dcterms:modified>
</cp:coreProperties>
</file>