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default" r:id="rId9"/>
          <w:footerReference w:type="default" r:id="rId10"/>
          <w:headerReference w:type="first" r:id="rId11"/>
          <w:footerReference w:type="first" r:id="rId12"/>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Formulier voor de kennisgeving van het voornemen om activa en/of risicoposten van dochterondernemingen buiten het SSM niet in de vergoedingsfactoren van onder toezicht staande groepen op te nemen</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proofErr w:type="gramStart"/>
      <w:r>
        <w:t>Krachtens</w:t>
      </w:r>
      <w:proofErr w:type="gramEnd"/>
      <w:r>
        <w:t xml:space="preserve"> artikel 4 van Besluit (EU) 2019/2158 van de Europese Centrale Bank (ECB/2019/38)</w:t>
      </w:r>
      <w:r w:rsidR="006B6013" w:rsidRPr="0017289D">
        <w:rPr>
          <w:rStyle w:val="FootnoteReference"/>
        </w:rPr>
        <w:footnoteReference w:id="1"/>
      </w:r>
      <w:r>
        <w:t xml:space="preserve"> moeten vergoedingsdebiteuren die voornemens zijn activa en/of het bedrag van de risicoposten van in niet-deelnemende lidstaten en in derde landen gevestigde dochterondernemingen uit te sluiten, de ECB uiterlijk op 30 september van de vergoedingsperiode waarvoor de vergoeding wordt berekend in kennis stellen van hun besluit. Er wordt gewerkt aan een online procedure daarvoor. Zodra die beschikbaar is, krijgen de vergoedingsdebiteuren bericht. </w:t>
      </w:r>
    </w:p>
    <w:p w:rsidR="00E17FE6" w:rsidRDefault="00E17FE6" w:rsidP="00990B30">
      <w:pPr>
        <w:pStyle w:val="ECBBodyText"/>
        <w:jc w:val="both"/>
      </w:pPr>
      <w:r>
        <w:t xml:space="preserve">Tot het zover is, kunnen vergoedingsdebiteuren dit voornemen kenbaar maken door het kennisgevingsformulier te downloaden, in te vullen en te versturen naar </w:t>
      </w:r>
      <w:hyperlink r:id="rId13" w:history="1">
        <w:r>
          <w:rPr>
            <w:rStyle w:val="Hyperlink"/>
          </w:rPr>
          <w:t>SSM-fee-enquiries@ecb.europa.eu</w:t>
        </w:r>
      </w:hyperlink>
      <w:r>
        <w:t>.</w:t>
      </w:r>
    </w:p>
    <w:p w:rsidR="00990B30" w:rsidRDefault="00990B30" w:rsidP="00990B30">
      <w:pPr>
        <w:pStyle w:val="ECBBodyText"/>
        <w:jc w:val="both"/>
      </w:pPr>
      <w:r>
        <w:t>De kennisgeving moet uiterlijk 30 september van de vergoedingsperiode bij de ECB binnen zijn, zodat de ECB en de nationale bevoegde autoriteiten weten of ze wel of geen gegevens van de groep over de vergoedingsfactoren kunnen verwachten via de aparte procedure voor gegevensverzameling die wordt beschreven in artikel 3, leden 2 en 3, van Besluit (EU) 2019/2158 van de Europese Centrale Bank (ECB/2019/38).</w:t>
      </w:r>
    </w:p>
    <w:p w:rsidR="00990B30" w:rsidRPr="0017289D" w:rsidRDefault="00990B30" w:rsidP="00990B30">
      <w:pPr>
        <w:pStyle w:val="ECBBodyText"/>
        <w:jc w:val="both"/>
      </w:pPr>
      <w:r>
        <w:t>Als de ECB een dergelijke kennisgeving niet ontvangt, gaat ze ervan uit dat de groep de bijdrage van dochterondernemingen buiten het SSM niet buiten beschouwing wenst te laten en maakt ze gebruik van data uit de financiële verslaggeving (FINREP) en de gemeenschappelijke verslaggeving (COREP) om de toezichtsvergoeding te berekenen. De vergoedingsdebiteuren kunnen de bijdragen van dochterondernemingen buiten het SSM ook slechts voor een van de twee vergoedingsfactoren buiten beschouwing laten. Een vergoedingsdebiteur kan er bijvoorbeeld voor kiezen alleen het totaal van de risicoposten (</w:t>
      </w:r>
      <w:proofErr w:type="spellStart"/>
      <w:r>
        <w:t>total</w:t>
      </w:r>
      <w:proofErr w:type="spellEnd"/>
      <w:r>
        <w:t xml:space="preserve"> </w:t>
      </w:r>
      <w:proofErr w:type="gramStart"/>
      <w:r>
        <w:t>risk</w:t>
      </w:r>
      <w:proofErr w:type="gramEnd"/>
      <w:r>
        <w:t xml:space="preserve"> exposure - TRE) buiten beschouwing te laten. In dat geval verwacht de ECB dat ze de gegevens over de TRE-vergoedingsfactor via de aparte gegevensverzamelingsprocedure ontvangt en hergebruikt ze de via FINREP beschikbare gegevens om de vergoedingsfactor totale activa te bepalen, in overeenstemming met artikel 3, lid 1, onder b), van Besluit (EU) 2019/2158 (ECB/2019/38).</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Formulier voor de kennisgeving van het voornemen om activa en/of risicoposten van dochterondernemingen buiten het SSM niet in de vergoedingsfactoren op te nemen</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4"/>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[Naam van de vergoedingsdebiteur]</w:t>
      </w:r>
    </w:p>
    <w:p w:rsidR="004D487B" w:rsidRPr="0017289D" w:rsidRDefault="00CD15B0" w:rsidP="00512A63">
      <w:pPr>
        <w:pStyle w:val="Default"/>
        <w:rPr>
          <w:rFonts w:ascii="Arial" w:hAnsi="Arial" w:cs="Arial"/>
          <w:sz w:val="20"/>
          <w:szCs w:val="20"/>
        </w:rPr>
      </w:pPr>
      <w:r>
        <w:rPr>
          <w:rFonts w:ascii="Arial" w:hAnsi="Arial"/>
          <w:sz w:val="20"/>
          <w:szCs w:val="20"/>
        </w:rPr>
        <w:t>[Naam van de contactpersoon]</w:t>
      </w:r>
    </w:p>
    <w:p w:rsidR="004D487B" w:rsidRPr="0017289D" w:rsidRDefault="00CD15B0" w:rsidP="004D487B">
      <w:pPr>
        <w:pStyle w:val="Default"/>
        <w:rPr>
          <w:rFonts w:ascii="Arial" w:hAnsi="Arial" w:cs="Arial"/>
          <w:sz w:val="20"/>
          <w:szCs w:val="20"/>
        </w:rPr>
      </w:pPr>
      <w:r>
        <w:rPr>
          <w:rFonts w:ascii="Arial" w:hAnsi="Arial"/>
          <w:sz w:val="20"/>
          <w:szCs w:val="20"/>
        </w:rPr>
        <w:t xml:space="preserve">[Afdeling] </w:t>
      </w:r>
    </w:p>
    <w:p w:rsidR="00697773" w:rsidRPr="0017289D" w:rsidRDefault="00697773" w:rsidP="00697773">
      <w:pPr>
        <w:pStyle w:val="Default"/>
        <w:rPr>
          <w:rFonts w:ascii="Arial" w:hAnsi="Arial" w:cs="Arial"/>
          <w:sz w:val="20"/>
          <w:szCs w:val="20"/>
        </w:rPr>
      </w:pPr>
      <w:r>
        <w:rPr>
          <w:rFonts w:ascii="Arial" w:hAnsi="Arial"/>
          <w:sz w:val="20"/>
          <w:szCs w:val="20"/>
        </w:rPr>
        <w:t xml:space="preserve">[Adres en e-mailadres]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Kennisgeving van het voornemen om activa en/of risicoposten van dochterondernemingen buiten het SSM niet in de vergoedingsfactoren op te nemen voor de berekening van toezichtsvergoeding JJJJ van de ECB</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Naam van de vergoedingsdebiteur:</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[Naam]</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Identificatiecode voor juridische entiteiten (LEI) van de vergoedingsdebiteur:</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Naam van de onder toezicht staande groep:</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[Naam]</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Identificatiecode voor juridische entiteiten (LEI)</w:t>
            </w:r>
            <w:r w:rsidR="00894AE1">
              <w:rPr>
                <w:rStyle w:val="FootnoteReference"/>
                <w:rFonts w:cs="Arial"/>
                <w:sz w:val="18"/>
                <w:szCs w:val="18"/>
              </w:rPr>
              <w:footnoteReference w:id="3"/>
            </w:r>
            <w:r>
              <w:rPr>
                <w:sz w:val="18"/>
                <w:szCs w:val="18"/>
              </w:rPr>
              <w:t xml:space="preserve"> van de onder toezicht staande groep:</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Bijdrage van dochterondernemingen buiten het SSM niet opnemen in:</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[Kies een of beide opties, indien van toepassing]</w:t>
            </w:r>
          </w:p>
          <w:p w:rsidR="00B10D8F" w:rsidRDefault="009D528F"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Vergoedingsfactor totaal van de risicoposten</w:t>
            </w:r>
            <w:r w:rsidR="00D76680">
              <w:rPr>
                <w:sz w:val="18"/>
                <w:szCs w:val="18"/>
                <w:u w:val="single"/>
              </w:rPr>
              <w:t xml:space="preserve"> </w:t>
            </w:r>
          </w:p>
          <w:p w:rsidR="00AF0B4A" w:rsidRPr="0017289D" w:rsidRDefault="009D528F"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Vergoedingsfactor totale activa</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Datum indiening bij de ECB</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w:t>
            </w:r>
            <w:proofErr w:type="spellStart"/>
            <w:r>
              <w:rPr>
                <w:sz w:val="18"/>
                <w:szCs w:val="18"/>
              </w:rPr>
              <w:t>dd</w:t>
            </w:r>
            <w:proofErr w:type="spellEnd"/>
            <w:r>
              <w:rPr>
                <w:sz w:val="18"/>
                <w:szCs w:val="18"/>
              </w:rPr>
              <w:t>/mm/</w:t>
            </w:r>
            <w:proofErr w:type="spellStart"/>
            <w:r>
              <w:rPr>
                <w:sz w:val="18"/>
                <w:szCs w:val="18"/>
              </w:rPr>
              <w:t>jjjj</w:t>
            </w:r>
            <w:proofErr w:type="spellEnd"/>
            <w:r>
              <w:rPr>
                <w:sz w:val="18"/>
                <w:szCs w:val="18"/>
              </w:rPr>
              <w:t>]</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bookmarkStart w:id="2" w:name="_GoBack"/>
      <w:bookmarkEnd w:id="2"/>
    </w:p>
    <w:sectPr w:rsid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8F" w:rsidRDefault="009D528F">
      <w:pPr>
        <w:spacing w:before="0" w:after="0" w:line="240" w:lineRule="auto"/>
      </w:pPr>
      <w:r>
        <w:separator/>
      </w:r>
    </w:p>
  </w:endnote>
  <w:endnote w:type="continuationSeparator" w:id="0">
    <w:p w:rsidR="009D528F" w:rsidRDefault="009D52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B67D1B" w:rsidRDefault="00570348" w:rsidP="00143A07">
    <w:pPr>
      <w:pStyle w:val="Footer"/>
      <w:jc w:val="both"/>
      <w:rPr>
        <w:lang w:val="en-GB"/>
      </w:rPr>
    </w:pPr>
    <w:r w:rsidRPr="00264109">
      <w:rPr>
        <w:sz w:val="14"/>
      </w:rPr>
      <w:fldChar w:fldCharType="begin"/>
    </w:r>
    <w:r w:rsidRPr="00B67D1B">
      <w:rPr>
        <w:sz w:val="14"/>
        <w:lang w:val="en-GB"/>
      </w:rPr>
      <w:instrText xml:space="preserve"> FILENAME </w:instrText>
    </w:r>
    <w:r w:rsidRPr="00264109">
      <w:rPr>
        <w:sz w:val="14"/>
      </w:rPr>
      <w:fldChar w:fldCharType="separate"/>
    </w:r>
    <w:r w:rsidR="00417113" w:rsidRPr="00B67D1B">
      <w:rPr>
        <w:sz w:val="14"/>
        <w:lang w:val="en-GB"/>
      </w:rPr>
      <w:t>Template for management letter.docx</w:t>
    </w:r>
    <w:r w:rsidRPr="00264109">
      <w:rPr>
        <w:sz w:val="14"/>
      </w:rPr>
      <w:fldChar w:fldCharType="end"/>
    </w:r>
    <w:r w:rsidRPr="00B67D1B">
      <w:rPr>
        <w:sz w:val="14"/>
        <w:lang w:val="en-GB"/>
      </w:rPr>
      <w:tab/>
    </w:r>
    <w:r w:rsidRPr="00B67D1B">
      <w:rPr>
        <w:lang w:val="en-GB"/>
      </w:rPr>
      <w:t xml:space="preserve">Page </w:t>
    </w:r>
    <w:r>
      <w:fldChar w:fldCharType="begin"/>
    </w:r>
    <w:r w:rsidRPr="00B67D1B">
      <w:rPr>
        <w:lang w:val="en-GB"/>
      </w:rPr>
      <w:instrText xml:space="preserve"> PAGE </w:instrText>
    </w:r>
    <w:r>
      <w:fldChar w:fldCharType="separate"/>
    </w:r>
    <w:r w:rsidRPr="00B67D1B">
      <w:rPr>
        <w:lang w:val="en-GB"/>
      </w:rPr>
      <w:t>1</w:t>
    </w:r>
    <w:r>
      <w:fldChar w:fldCharType="end"/>
    </w:r>
    <w:r w:rsidRPr="00B67D1B">
      <w:rPr>
        <w:lang w:val="en-GB"/>
      </w:rPr>
      <w:t xml:space="preserve"> of </w:t>
    </w:r>
    <w:r>
      <w:fldChar w:fldCharType="begin"/>
    </w:r>
    <w:r w:rsidRPr="00B67D1B">
      <w:rPr>
        <w:lang w:val="en-GB"/>
      </w:rPr>
      <w:instrText xml:space="preserve"> NUMPAGES </w:instrText>
    </w:r>
    <w:r>
      <w:fldChar w:fldCharType="separate"/>
    </w:r>
    <w:r w:rsidR="00417113" w:rsidRPr="00B67D1B">
      <w:rPr>
        <w:lang w:val="en-GB"/>
      </w:rPr>
      <w:t>1</w:t>
    </w:r>
    <w:r>
      <w:fldChar w:fldCharType="end"/>
    </w:r>
  </w:p>
  <w:p w:rsidR="00570348" w:rsidRPr="00B67D1B" w:rsidRDefault="00570348" w:rsidP="00143A07">
    <w:pPr>
      <w:pStyle w:val="Footer"/>
      <w:jc w:val="both"/>
      <w:rPr>
        <w:lang w:val="en-GB"/>
      </w:rPr>
    </w:pPr>
    <w:r w:rsidRPr="00B67D1B">
      <w:rPr>
        <w:lang w:val="en-GB"/>
      </w:rPr>
      <w:tab/>
    </w:r>
    <w:r w:rsidRPr="00B67D1B">
      <w:rPr>
        <w:sz w:val="12"/>
        <w:szCs w:val="12"/>
        <w:lang w:val="en-GB"/>
      </w:rPr>
      <w:t xml:space="preserve">Last printed: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Page </w:t>
    </w:r>
    <w:r w:rsidRPr="00D445EB">
      <w:rPr>
        <w:szCs w:val="17"/>
      </w:rPr>
      <w:fldChar w:fldCharType="begin"/>
    </w:r>
    <w:r w:rsidRPr="00D445EB">
      <w:rPr>
        <w:szCs w:val="17"/>
      </w:rPr>
      <w:instrText xml:space="preserve"> PAGE </w:instrText>
    </w:r>
    <w:r w:rsidRPr="00D445EB">
      <w:rPr>
        <w:szCs w:val="17"/>
      </w:rPr>
      <w:fldChar w:fldCharType="separate"/>
    </w:r>
    <w:r w:rsidR="00406EED">
      <w:rPr>
        <w:szCs w:val="17"/>
      </w:rPr>
      <w:t>1</w:t>
    </w:r>
    <w:r w:rsidRPr="00D445EB">
      <w:rPr>
        <w:szCs w:val="17"/>
      </w:rPr>
      <w:fldChar w:fldCharType="end"/>
    </w:r>
    <w:r>
      <w:t xml:space="preserve"> of </w:t>
    </w:r>
    <w:r w:rsidRPr="00D445EB">
      <w:rPr>
        <w:szCs w:val="17"/>
      </w:rPr>
      <w:fldChar w:fldCharType="begin"/>
    </w:r>
    <w:r w:rsidRPr="00D445EB">
      <w:rPr>
        <w:szCs w:val="17"/>
      </w:rPr>
      <w:instrText xml:space="preserve"> NUMPAGES </w:instrText>
    </w:r>
    <w:r w:rsidRPr="00D445EB">
      <w:rPr>
        <w:szCs w:val="17"/>
      </w:rPr>
      <w:fldChar w:fldCharType="separate"/>
    </w:r>
    <w:r w:rsidR="00406EED">
      <w:rPr>
        <w:szCs w:val="17"/>
      </w:rPr>
      <w:t>2</w:t>
    </w:r>
    <w:r w:rsidRPr="00D445EB">
      <w:rPr>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Page </w:t>
    </w:r>
    <w:r w:rsidRPr="00D445EB">
      <w:rPr>
        <w:szCs w:val="17"/>
      </w:rPr>
      <w:fldChar w:fldCharType="begin"/>
    </w:r>
    <w:r w:rsidRPr="00D445EB">
      <w:rPr>
        <w:szCs w:val="17"/>
      </w:rPr>
      <w:instrText xml:space="preserve"> PAGE </w:instrText>
    </w:r>
    <w:r w:rsidRPr="00D445EB">
      <w:rPr>
        <w:szCs w:val="17"/>
      </w:rPr>
      <w:fldChar w:fldCharType="separate"/>
    </w:r>
    <w:r w:rsidR="00406EED">
      <w:rPr>
        <w:szCs w:val="17"/>
      </w:rPr>
      <w:t>2</w:t>
    </w:r>
    <w:r w:rsidRPr="00D445EB">
      <w:rPr>
        <w:szCs w:val="17"/>
      </w:rPr>
      <w:fldChar w:fldCharType="end"/>
    </w:r>
    <w:r>
      <w:t xml:space="preserve"> of </w:t>
    </w:r>
    <w:r w:rsidRPr="00D445EB">
      <w:rPr>
        <w:szCs w:val="17"/>
      </w:rPr>
      <w:fldChar w:fldCharType="begin"/>
    </w:r>
    <w:r w:rsidRPr="00D445EB">
      <w:rPr>
        <w:szCs w:val="17"/>
      </w:rPr>
      <w:instrText xml:space="preserve"> NUMPAGES </w:instrText>
    </w:r>
    <w:r w:rsidRPr="00D445EB">
      <w:rPr>
        <w:szCs w:val="17"/>
      </w:rPr>
      <w:fldChar w:fldCharType="separate"/>
    </w:r>
    <w:r w:rsidR="00406EED">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8F" w:rsidRDefault="009D528F">
      <w:pPr>
        <w:spacing w:before="0" w:after="0" w:line="240" w:lineRule="auto"/>
      </w:pPr>
      <w:r>
        <w:separator/>
      </w:r>
    </w:p>
  </w:footnote>
  <w:footnote w:type="continuationSeparator" w:id="0">
    <w:p w:rsidR="009D528F" w:rsidRDefault="009D528F">
      <w:pPr>
        <w:spacing w:before="0" w:after="0" w:line="240" w:lineRule="auto"/>
      </w:pPr>
      <w:r>
        <w:continuationSeparator/>
      </w:r>
    </w:p>
  </w:footnote>
  <w:footnote w:id="1">
    <w:p w:rsidR="006B6013" w:rsidRDefault="006B6013" w:rsidP="006B6013">
      <w:pPr>
        <w:pStyle w:val="FootnoteText"/>
      </w:pPr>
      <w:r>
        <w:rPr>
          <w:rStyle w:val="FootnoteReference"/>
        </w:rPr>
        <w:footnoteRef/>
      </w:r>
      <w:r>
        <w:tab/>
        <w:t xml:space="preserve">Besluit (EU) 2019/2158 van de Europese Centrale Bank van 5 december 2019 </w:t>
      </w:r>
      <w:proofErr w:type="gramStart"/>
      <w:r>
        <w:t>inzake</w:t>
      </w:r>
      <w:proofErr w:type="gramEnd"/>
      <w:r>
        <w:t xml:space="preserve"> de methodologie en procedures voor de bepaling en vergaring van gegevens met betrekking tot vergoedingsfactoren die worden gebruikt voor de berekening van de jaarlijkse vergoedingen voor toezicht (ECB/2019/38) (PB L 327 van 17.12.2019, blz. 99).</w:t>
      </w:r>
    </w:p>
  </w:footnote>
  <w:footnote w:id="2">
    <w:p w:rsidR="00B10D8F" w:rsidRDefault="00DD3B2D" w:rsidP="00B10D8F">
      <w:pPr>
        <w:pStyle w:val="FootnoteText"/>
        <w:jc w:val="both"/>
      </w:pPr>
      <w:r>
        <w:rPr>
          <w:rStyle w:val="FootnoteReference"/>
        </w:rPr>
        <w:footnoteRef/>
      </w:r>
      <w:r>
        <w:t xml:space="preserve"> </w:t>
      </w:r>
      <w:r>
        <w:tab/>
        <w:t xml:space="preserve">De naam en de LEI zijn die van de </w:t>
      </w:r>
      <w:proofErr w:type="spellStart"/>
      <w:r>
        <w:t>vergoedingsplichtige</w:t>
      </w:r>
      <w:proofErr w:type="spellEnd"/>
      <w:r>
        <w:t xml:space="preserve"> kredietinstelling die het hoogste consolidatieniveau binnen de onder toezicht staande groep vertegenwoordigt. </w:t>
      </w:r>
    </w:p>
    <w:p w:rsidR="00DD3B2D" w:rsidRDefault="00B10D8F" w:rsidP="00B10D8F">
      <w:pPr>
        <w:pStyle w:val="FootnoteText"/>
        <w:jc w:val="both"/>
      </w:pPr>
      <w:r>
        <w:tab/>
        <w:t xml:space="preserve">Als de aangewezen vergoedingsdebiteur dezelfde is als de </w:t>
      </w:r>
      <w:proofErr w:type="spellStart"/>
      <w:r>
        <w:t>vergoedingsplichtige</w:t>
      </w:r>
      <w:proofErr w:type="spellEnd"/>
      <w:r>
        <w:t xml:space="preserve"> kredietinstelling die het hoogste consolidatieniveau binnen de onder toezicht staande groep vertegenwoordigt, moeten de naam en de LEI in rij 3 en 4 dezelfde zijn als die in rij 1 en 2. </w:t>
      </w:r>
    </w:p>
  </w:footnote>
  <w:footnote w:id="3">
    <w:p w:rsidR="00894AE1" w:rsidRDefault="00894AE1">
      <w:pPr>
        <w:pStyle w:val="FootnoteText"/>
      </w:pPr>
      <w:r>
        <w:rPr>
          <w:rStyle w:val="FootnoteReference"/>
        </w:rPr>
        <w:footnoteRef/>
      </w:r>
      <w:r>
        <w:t xml:space="preserve"> </w:t>
      </w:r>
      <w:r>
        <w:tab/>
        <w:t xml:space="preserve">Indien de LEI niet beschikbaar is, vult u de code in die u gebruikt voor de toezichtrapportage. </w:t>
      </w:r>
    </w:p>
  </w:footnote>
  <w:footnote w:id="4">
    <w:p w:rsidR="00EC0FA9" w:rsidRDefault="00EC0FA9">
      <w:pPr>
        <w:pStyle w:val="FootnoteText"/>
      </w:pPr>
      <w:r>
        <w:rPr>
          <w:rStyle w:val="FootnoteReference"/>
        </w:rPr>
        <w:footnoteRef/>
      </w:r>
      <w:r>
        <w:t xml:space="preserve"> </w:t>
      </w:r>
      <w:r>
        <w:tab/>
        <w:t>Zie voetnoot 2 hierboven.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06EED"/>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D528F"/>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67D1B"/>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M-fee-enquiries@ecb.europ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6D9D3-5DB3-4926-9D09-41B969F2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Flache, Laurence</cp:lastModifiedBy>
  <cp:revision>4</cp:revision>
  <dcterms:created xsi:type="dcterms:W3CDTF">2020-05-06T09:27:00Z</dcterms:created>
  <dcterms:modified xsi:type="dcterms:W3CDTF">2020-05-07T15:20:00Z</dcterms:modified>
</cp:coreProperties>
</file>