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 xml:space="preserve">Veidne paziņojumam par </w:t>
      </w:r>
      <w:r w:rsidR="00AA1621">
        <w:rPr>
          <w:b/>
          <w:bCs/>
          <w:sz w:val="24"/>
          <w:szCs w:val="20"/>
        </w:rPr>
        <w:t xml:space="preserve">uzraudzīto grupu </w:t>
      </w:r>
      <w:r>
        <w:rPr>
          <w:b/>
          <w:bCs/>
          <w:sz w:val="24"/>
          <w:szCs w:val="20"/>
        </w:rPr>
        <w:t>nodomu neuzrādīt VUM neiesaistītajās valstīs reģistrēto meitasuzņēmumu aktīvus un/vai riska pozīciju summas</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Eiropas Centrālā</w:t>
      </w:r>
      <w:r w:rsidR="00C10DDA">
        <w:t>s</w:t>
      </w:r>
      <w:r>
        <w:t xml:space="preserve"> bankas Lēmuma (ES) 2019/2158 (ECB/2019/38)</w:t>
      </w:r>
      <w:r w:rsidR="006B6013" w:rsidRPr="0017289D">
        <w:rPr>
          <w:rStyle w:val="FootnoteReference"/>
        </w:rPr>
        <w:footnoteReference w:id="1"/>
      </w:r>
      <w:r>
        <w:t xml:space="preserve"> 4. pantā noteikts, ka maksājuma veicēji, kas plāno neuzrādīt neiesaistītās dalībvalstīs un trešās valstīs reģistrētu meitasuzņēmumu aktīvus un/vai riska pozīcijas summu, par savu lēmumu paziņo ECB ne vēlāk kā līdz tā uzraudzības maksas perioda 30. septembrim, par kuru tiek aprēķināta uzraudzības maksa. Tāpēc tiek </w:t>
      </w:r>
      <w:r w:rsidR="00C10DDA">
        <w:t>izstrādāts</w:t>
      </w:r>
      <w:r>
        <w:t xml:space="preserve"> tiešsaistes process, un maksāju</w:t>
      </w:r>
      <w:bookmarkStart w:id="1" w:name="_GoBack"/>
      <w:bookmarkEnd w:id="1"/>
      <w:r>
        <w:t xml:space="preserve">ma veicēji tiks attiecīgi informēti, kad šis process būs pieejams. </w:t>
      </w:r>
    </w:p>
    <w:p w:rsidR="00E17FE6" w:rsidRDefault="00E17FE6" w:rsidP="00990B30">
      <w:pPr>
        <w:pStyle w:val="ECBBodyText"/>
        <w:jc w:val="both"/>
      </w:pPr>
      <w:r>
        <w:t>Līdz</w:t>
      </w:r>
      <w:r w:rsidR="00466AC5">
        <w:t xml:space="preserve"> </w:t>
      </w:r>
      <w:r>
        <w:t>š</w:t>
      </w:r>
      <w:r w:rsidR="00466AC5">
        <w:t xml:space="preserve">ā </w:t>
      </w:r>
      <w:r>
        <w:t>proces</w:t>
      </w:r>
      <w:r w:rsidR="00466AC5">
        <w:t>a ieviešanai</w:t>
      </w:r>
      <w:r>
        <w:t xml:space="preserve"> maksājuma veicēji, kuri vēlas paziņot par </w:t>
      </w:r>
      <w:r w:rsidR="00AA1621">
        <w:t xml:space="preserve">uzraudzīto grupu </w:t>
      </w:r>
      <w:r>
        <w:t xml:space="preserve">nodomu neuzrādīt VUM neiesaistītajās valstīs reģistrēto meitasuzņēmumu aktīvus un/vai riska pozīciju summas, aicināti lejupielādēt un aizpildīt šo paziņojuma veidni, un nosūtīt to uz e-pasta adresi </w:t>
      </w:r>
      <w:hyperlink r:id="rId15" w:history="1">
        <w:r>
          <w:rPr>
            <w:rStyle w:val="Hyperlink"/>
          </w:rPr>
          <w:t>SSM-fee-enquiries@ecb.europa.eu</w:t>
        </w:r>
      </w:hyperlink>
      <w:r>
        <w:t>.</w:t>
      </w:r>
    </w:p>
    <w:p w:rsidR="00990B30" w:rsidRDefault="00990B30" w:rsidP="00990B30">
      <w:pPr>
        <w:pStyle w:val="ECBBodyText"/>
        <w:jc w:val="both"/>
      </w:pPr>
      <w:r>
        <w:t>Paziņojumam jānonāk ECB līdz attiecīgā uzraudzības maksas perioda 30. septembrim, lai ECB un valstu kompetentās iestādes zinātu, vai attiecīgā uzraudzītā grupa sniegs datus par maksu noteicošajiem faktoriem, izmantojot Lēmuma (ES) 2019/2158 (ECB/2019/38) 3. panta 2. un 3. punktā aprakstīto atsevišķo datu apkopošanas procesu.</w:t>
      </w:r>
    </w:p>
    <w:p w:rsidR="00990B30" w:rsidRPr="0017289D" w:rsidRDefault="00990B30" w:rsidP="00990B30">
      <w:pPr>
        <w:pStyle w:val="ECBBodyText"/>
        <w:jc w:val="both"/>
      </w:pPr>
      <w:r>
        <w:t>Ja ECB nesaņems šādu paziņojumu, tā uzskatīs, ka attiecīgais maksājuma veicējs nevēlas neuzrādīt VUM neiesaistītajās valstīs reģistrēto meitasuzņēmumu daļu, un attiecīgi uzraudzības maksas aprēķināšanai izmantos finanšu pārskatu sniegšanas (FINREP) un vienoto ziņojumu sniegšanas (COREP) datus. Maksājuma veicējiem arī ir iespēja piemērot VUM neiesaistītajās valstīs reģistrēto meitasuzņēmumu daļas neuzrādīšanu tikai vienam no abiem maksu noteicošajiem faktoriem. Piemēram, maksājuma veicējs var izvēlēties neuzrādīt tikai kopējo riska pozīciju (KRP). Šādā gadījumā ECB gaidīs no uzraudzītās grupas datus par maksu noteicošo faktoru "KRP", k</w:t>
      </w:r>
      <w:r w:rsidR="00AD19FA">
        <w:t>o tā iesniegs</w:t>
      </w:r>
      <w:r>
        <w:t xml:space="preserve"> atsevišķā datu apkopošanas procesa ietvaros, bet maksu noteicošā faktora "kopējie aktīvi (KA)" noteikšanai izmantos FINREP ietvaros saņemtos datus atbilstoši Lēmuma (ES) 2019/2158 (ECB/2019/38) 3. panta 1. punkta b) apakšpunktam.</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Veidne paziņojumam par nodomu neuzrādīt VUM neiesaistītajās valstīs reģistrēto meitasuzņēmumu aktīvus un/vai riska pozīciju summas</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[Maksājuma veicēja nosaukums]</w:t>
      </w:r>
    </w:p>
    <w:p w:rsidR="004D487B" w:rsidRPr="0017289D" w:rsidRDefault="00CD15B0" w:rsidP="00512A63">
      <w:pPr>
        <w:pStyle w:val="Default"/>
        <w:rPr>
          <w:rFonts w:ascii="Arial" w:hAnsi="Arial" w:cs="Arial"/>
          <w:sz w:val="20"/>
          <w:szCs w:val="20"/>
        </w:rPr>
      </w:pPr>
      <w:r>
        <w:rPr>
          <w:rFonts w:ascii="Arial" w:hAnsi="Arial"/>
          <w:sz w:val="20"/>
          <w:szCs w:val="20"/>
        </w:rPr>
        <w:t>[Kontaktpersonas vārds un uzvārds]</w:t>
      </w:r>
    </w:p>
    <w:p w:rsidR="004D487B" w:rsidRPr="0017289D" w:rsidRDefault="00CD15B0" w:rsidP="004D487B">
      <w:pPr>
        <w:pStyle w:val="Default"/>
        <w:rPr>
          <w:rFonts w:ascii="Arial" w:hAnsi="Arial" w:cs="Arial"/>
          <w:sz w:val="20"/>
          <w:szCs w:val="20"/>
        </w:rPr>
      </w:pPr>
      <w:r>
        <w:rPr>
          <w:rFonts w:ascii="Arial" w:hAnsi="Arial"/>
          <w:sz w:val="20"/>
          <w:szCs w:val="20"/>
        </w:rPr>
        <w:t xml:space="preserve">[Nodaļa] </w:t>
      </w:r>
    </w:p>
    <w:p w:rsidR="00697773" w:rsidRPr="0017289D" w:rsidRDefault="00697773" w:rsidP="00697773">
      <w:pPr>
        <w:pStyle w:val="Default"/>
        <w:rPr>
          <w:rFonts w:ascii="Arial" w:hAnsi="Arial" w:cs="Arial"/>
          <w:sz w:val="20"/>
          <w:szCs w:val="20"/>
        </w:rPr>
      </w:pPr>
      <w:r>
        <w:rPr>
          <w:rFonts w:ascii="Arial" w:hAnsi="Arial"/>
          <w:sz w:val="20"/>
          <w:szCs w:val="20"/>
        </w:rPr>
        <w:t xml:space="preserve">[Adrese un e-pasta adrese]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Paziņojums par nodomu neuzrādīt VUM neiesaistītajās valstīs reģistrēto meitasuzņēmumu aktīvus un/vai riska pozīciju summas GGGG. gada ECB uzraudzības maksas aprēķināšanai</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Maksājuma veicēja nosaukums:</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[Nosaukums]</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Maksājuma veicēja juridiskās personas identifikators (JPI):</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Uzraudzītās grupas nosaukums:</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[Nosaukums]</w:t>
            </w:r>
            <w:bookmarkStart w:id="2" w:name="_Ref35874756"/>
            <w:r>
              <w:rPr>
                <w:rStyle w:val="FootnoteReference"/>
                <w:rFonts w:cs="Arial"/>
                <w:sz w:val="18"/>
                <w:szCs w:val="18"/>
              </w:rPr>
              <w:footnoteReference w:id="2"/>
            </w:r>
            <w:bookmarkEnd w:id="2"/>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Uzraudzītās grupas juridiskās personas identifikators (JPI)</w:t>
            </w:r>
            <w:r w:rsidR="00894AE1">
              <w:rPr>
                <w:rStyle w:val="FootnoteReference"/>
                <w:rFonts w:cs="Arial"/>
                <w:sz w:val="18"/>
                <w:szCs w:val="18"/>
              </w:rPr>
              <w:footnoteReference w:id="3"/>
            </w:r>
            <w:r>
              <w:rPr>
                <w:sz w:val="18"/>
                <w:szCs w:val="18"/>
              </w:rPr>
              <w:t>:</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Neuzrādīt VUM neiesaistītajās valstīs reģistrēto meitasuzņēmumu daļu šādiem maksu noteicošajiem faktoriem:</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[Lūdzam pēc apstākļiem izvēlēties vienu vai abas iespējas]</w:t>
            </w:r>
          </w:p>
          <w:p w:rsidR="00B10D8F" w:rsidRDefault="00FA1B47"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Maksu noteicošais faktors "kopējā riska pozīcija"</w:t>
            </w:r>
            <w:r w:rsidR="00D76680">
              <w:rPr>
                <w:sz w:val="18"/>
                <w:szCs w:val="18"/>
                <w:u w:val="single"/>
              </w:rPr>
              <w:t xml:space="preserve"> </w:t>
            </w:r>
          </w:p>
          <w:p w:rsidR="00AF0B4A" w:rsidRPr="0017289D" w:rsidRDefault="00FA1B47"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Maksu noteicošais faktors "kopējie aktīvi"</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Iesniegšanas datums ECB:</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w:t>
            </w:r>
            <w:proofErr w:type="spellStart"/>
            <w:r>
              <w:rPr>
                <w:sz w:val="18"/>
                <w:szCs w:val="18"/>
              </w:rPr>
              <w:t>dd.mm.gggg</w:t>
            </w:r>
            <w:proofErr w:type="spellEnd"/>
            <w:r>
              <w:rPr>
                <w:sz w:val="18"/>
                <w:szCs w:val="18"/>
              </w:rPr>
              <w:t>.]</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p>
    <w:p w:rsidR="00F90002" w:rsidRPr="00F90002" w:rsidRDefault="00F90002" w:rsidP="00F90002"/>
    <w:p w:rsidR="00F90002" w:rsidRPr="00F90002" w:rsidRDefault="00F90002" w:rsidP="00F90002"/>
    <w:p w:rsidR="00F90002" w:rsidRPr="00F90002" w:rsidRDefault="00F90002" w:rsidP="00F90002"/>
    <w:p w:rsidR="000D530E" w:rsidRPr="00F90002" w:rsidRDefault="000D530E" w:rsidP="00F90002">
      <w:pPr>
        <w:tabs>
          <w:tab w:val="left" w:pos="3851"/>
        </w:tabs>
      </w:pPr>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47" w:rsidRDefault="00FA1B47">
      <w:pPr>
        <w:spacing w:before="0" w:after="0" w:line="240" w:lineRule="auto"/>
      </w:pPr>
      <w:r>
        <w:separator/>
      </w:r>
    </w:p>
  </w:endnote>
  <w:endnote w:type="continuationSeparator" w:id="0">
    <w:p w:rsidR="00FA1B47" w:rsidRDefault="00FA1B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Latvju Raksti B TL"/>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21" w:rsidRDefault="00AA1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66AC5">
      <w:rPr>
        <w:sz w:val="14"/>
      </w:rPr>
      <w:t>ssm.202004_notification_exclusion_non_SSM_subsidiaries.lv.docx</w:t>
    </w:r>
    <w:r w:rsidRPr="00264109">
      <w:rPr>
        <w:sz w:val="14"/>
      </w:rPr>
      <w:fldChar w:fldCharType="end"/>
    </w:r>
    <w:r>
      <w:rPr>
        <w:sz w:val="14"/>
      </w:rPr>
      <w:tab/>
    </w:r>
    <w:r>
      <w:fldChar w:fldCharType="begin"/>
    </w:r>
    <w:r>
      <w:instrText xml:space="preserve"> PAGE </w:instrText>
    </w:r>
    <w:r>
      <w:fldChar w:fldCharType="separate"/>
    </w:r>
    <w:r>
      <w:t>1</w:t>
    </w:r>
    <w:r>
      <w:fldChar w:fldCharType="end"/>
    </w:r>
    <w:r>
      <w:t xml:space="preserve"> no </w:t>
    </w:r>
    <w:r>
      <w:fldChar w:fldCharType="begin"/>
    </w:r>
    <w:r>
      <w:instrText xml:space="preserve"> NUMPAGES </w:instrText>
    </w:r>
    <w:r>
      <w:fldChar w:fldCharType="separate"/>
    </w:r>
    <w:r w:rsidR="00466AC5">
      <w:t>1</w:t>
    </w:r>
    <w:r>
      <w:fldChar w:fldCharType="end"/>
    </w:r>
  </w:p>
  <w:p w:rsidR="00570348" w:rsidRDefault="00570348" w:rsidP="00143A07">
    <w:pPr>
      <w:pStyle w:val="Footer"/>
      <w:jc w:val="both"/>
    </w:pPr>
    <w:r>
      <w:tab/>
    </w:r>
    <w:r>
      <w:rPr>
        <w:sz w:val="12"/>
        <w:szCs w:val="12"/>
      </w:rPr>
      <w:t xml:space="preserve">Jaunākā drukātā versija: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66AC5">
      <w:rPr>
        <w:sz w:val="12"/>
        <w:szCs w:val="12"/>
      </w:rPr>
      <w:t>0000.00.00. 0:00:00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r>
    <w:r w:rsidRPr="00D445EB">
      <w:rPr>
        <w:szCs w:val="17"/>
      </w:rPr>
      <w:fldChar w:fldCharType="begin"/>
    </w:r>
    <w:r w:rsidRPr="00D445EB">
      <w:rPr>
        <w:szCs w:val="17"/>
      </w:rPr>
      <w:instrText xml:space="preserve"> PAGE </w:instrText>
    </w:r>
    <w:r w:rsidRPr="00D445EB">
      <w:rPr>
        <w:szCs w:val="17"/>
      </w:rPr>
      <w:fldChar w:fldCharType="separate"/>
    </w:r>
    <w:r w:rsidR="00C10DDA">
      <w:rPr>
        <w:szCs w:val="17"/>
      </w:rPr>
      <w:t>1</w:t>
    </w:r>
    <w:r w:rsidRPr="00D445EB">
      <w:rPr>
        <w:szCs w:val="17"/>
      </w:rPr>
      <w:fldChar w:fldCharType="end"/>
    </w:r>
    <w:r>
      <w:t xml:space="preserve"> no </w:t>
    </w:r>
    <w:r w:rsidRPr="00D445EB">
      <w:rPr>
        <w:szCs w:val="17"/>
      </w:rPr>
      <w:fldChar w:fldCharType="begin"/>
    </w:r>
    <w:r w:rsidRPr="00D445EB">
      <w:rPr>
        <w:szCs w:val="17"/>
      </w:rPr>
      <w:instrText xml:space="preserve"> NUMPAGES </w:instrText>
    </w:r>
    <w:r w:rsidRPr="00D445EB">
      <w:rPr>
        <w:szCs w:val="17"/>
      </w:rPr>
      <w:fldChar w:fldCharType="separate"/>
    </w:r>
    <w:r w:rsidR="00C10DDA">
      <w:rPr>
        <w:szCs w:val="17"/>
      </w:rPr>
      <w:t>2</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r>
    <w:r w:rsidRPr="00D445EB">
      <w:rPr>
        <w:szCs w:val="17"/>
      </w:rPr>
      <w:fldChar w:fldCharType="begin"/>
    </w:r>
    <w:r w:rsidRPr="00D445EB">
      <w:rPr>
        <w:szCs w:val="17"/>
      </w:rPr>
      <w:instrText xml:space="preserve"> PAGE </w:instrText>
    </w:r>
    <w:r w:rsidRPr="00D445EB">
      <w:rPr>
        <w:szCs w:val="17"/>
      </w:rPr>
      <w:fldChar w:fldCharType="separate"/>
    </w:r>
    <w:r w:rsidR="00C10DDA">
      <w:rPr>
        <w:szCs w:val="17"/>
      </w:rPr>
      <w:t>2</w:t>
    </w:r>
    <w:r w:rsidRPr="00D445EB">
      <w:rPr>
        <w:szCs w:val="17"/>
      </w:rPr>
      <w:fldChar w:fldCharType="end"/>
    </w:r>
    <w:r>
      <w:t xml:space="preserve"> no </w:t>
    </w:r>
    <w:r w:rsidRPr="00D445EB">
      <w:rPr>
        <w:szCs w:val="17"/>
      </w:rPr>
      <w:fldChar w:fldCharType="begin"/>
    </w:r>
    <w:r w:rsidRPr="00D445EB">
      <w:rPr>
        <w:szCs w:val="17"/>
      </w:rPr>
      <w:instrText xml:space="preserve"> NUMPAGES </w:instrText>
    </w:r>
    <w:r w:rsidRPr="00D445EB">
      <w:rPr>
        <w:szCs w:val="17"/>
      </w:rPr>
      <w:fldChar w:fldCharType="separate"/>
    </w:r>
    <w:r w:rsidR="00C10DDA">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47" w:rsidRDefault="00FA1B47">
      <w:pPr>
        <w:spacing w:before="0" w:after="0" w:line="240" w:lineRule="auto"/>
      </w:pPr>
      <w:r>
        <w:separator/>
      </w:r>
    </w:p>
  </w:footnote>
  <w:footnote w:type="continuationSeparator" w:id="0">
    <w:p w:rsidR="00FA1B47" w:rsidRDefault="00FA1B47">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t>Eiropas Centrālās bankas 2019. gada 5. decembra Lēmums (ES) 2019/2158 par metodoloģiju un procedūrām attiecībā uz datu noteikšanu un vākšanu par maksu noteicošiem faktoriem, kurus izmanto gada uzraudzības maksas aprēķināšanā (ECB/2019/38; OV L 327, 17.12.2019., 99. lpp.).</w:t>
      </w:r>
    </w:p>
  </w:footnote>
  <w:footnote w:id="2">
    <w:p w:rsidR="00B10D8F" w:rsidRDefault="00DD3B2D" w:rsidP="00B10D8F">
      <w:pPr>
        <w:pStyle w:val="FootnoteText"/>
        <w:jc w:val="both"/>
      </w:pPr>
      <w:r>
        <w:rPr>
          <w:rStyle w:val="FootnoteReference"/>
        </w:rPr>
        <w:footnoteRef/>
      </w:r>
      <w:r>
        <w:t xml:space="preserve"> </w:t>
      </w:r>
      <w:r>
        <w:tab/>
        <w:t xml:space="preserve">Nosaukums un JPI atbilst maksātājai kredītiestādei, kurai ir augstākais konsolidācijas līmenis uzraudzītajā grupā. </w:t>
      </w:r>
    </w:p>
    <w:p w:rsidR="00DD3B2D" w:rsidRDefault="00B10D8F" w:rsidP="00B10D8F">
      <w:pPr>
        <w:pStyle w:val="FootnoteText"/>
        <w:jc w:val="both"/>
      </w:pPr>
      <w:r>
        <w:tab/>
        <w:t>Ja nominētais maksājuma veicējs ir tā pati maksātāja kredītiestāde, kurai ir augstākais konsolidācijas līmenis uzraudzītajā grupā, 3. </w:t>
      </w:r>
      <w:r w:rsidR="00AD19FA">
        <w:t>un 4. rindā jāuzrāda tas pats no</w:t>
      </w:r>
      <w:r>
        <w:t xml:space="preserve">saukums un JPI, kas uzrādīts 1. un 2. rindā. </w:t>
      </w:r>
    </w:p>
  </w:footnote>
  <w:footnote w:id="3">
    <w:p w:rsidR="00894AE1" w:rsidRDefault="00894AE1">
      <w:pPr>
        <w:pStyle w:val="FootnoteText"/>
      </w:pPr>
      <w:r>
        <w:rPr>
          <w:rStyle w:val="FootnoteReference"/>
        </w:rPr>
        <w:footnoteRef/>
      </w:r>
      <w:r>
        <w:t xml:space="preserve"> </w:t>
      </w:r>
      <w:r>
        <w:tab/>
        <w:t xml:space="preserve">Ja JPI nav pieejams, lūdzam norādīt kodu, kuru iestāde izmanto, sniedzot uzraudzības pārskatus. </w:t>
      </w:r>
    </w:p>
  </w:footnote>
  <w:footnote w:id="4">
    <w:p w:rsidR="00EC0FA9" w:rsidRDefault="00EC0FA9">
      <w:pPr>
        <w:pStyle w:val="FootnoteText"/>
      </w:pPr>
      <w:r>
        <w:rPr>
          <w:rStyle w:val="FootnoteReference"/>
        </w:rPr>
        <w:footnoteRef/>
      </w:r>
      <w:r>
        <w:t xml:space="preserve"> </w:t>
      </w:r>
      <w:r>
        <w:tab/>
        <w:t>Sk. 2. zemsvītras piezīmi.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621" w:rsidRDefault="00AA1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66AC5"/>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1621"/>
    <w:rsid w:val="00AA4E4C"/>
    <w:rsid w:val="00AB48FA"/>
    <w:rsid w:val="00AC4F75"/>
    <w:rsid w:val="00AD19FA"/>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0DDA"/>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A1B47"/>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06F3B-A02E-4846-B76C-06FEDAF5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smitein</cp:lastModifiedBy>
  <cp:revision>5</cp:revision>
  <dcterms:created xsi:type="dcterms:W3CDTF">2020-05-06T09:27:00Z</dcterms:created>
  <dcterms:modified xsi:type="dcterms:W3CDTF">2020-05-07T14:00:00Z</dcterms:modified>
</cp:coreProperties>
</file>