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default" r:id="rId9"/>
          <w:footerReference w:type="default" r:id="rId10"/>
          <w:headerReference w:type="first" r:id="rId11"/>
          <w:footerReference w:type="first" r:id="rId12"/>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Teate vorm: teade järelevalve alla kuuluvate pangagruppide kavatsuse kohta välja jätta ühtse järelevalvemehhanismi välistes riikides asutatud tütarettevõtjate varad ja/või riskipositsiooni summa</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Euroopa Keskpanga otsuse (EL) 2019/2158 (EKP/2019/38)</w:t>
      </w:r>
      <w:r w:rsidR="006B6013" w:rsidRPr="0017289D">
        <w:rPr>
          <w:rStyle w:val="FootnoteReference"/>
        </w:rPr>
        <w:footnoteReference w:id="1"/>
      </w:r>
      <w:r>
        <w:t xml:space="preserve"> artiklis 4 on sätestatud, et tasuvõlgnikud, kes kavatsevad mitteosalevates liikmesriikides ja kolmandates riikides asutatud tütarettevõtjate varad ja/või riskipositsiooni summa välja jätta, peavad sellest EKP-le teatama hiljemalt 30. septembril selles tasuperioodis, mille kohta tasu arvutatakse. Praegu töötatakse selleks välja elektroonilist menetlust ning tasuvõlgnikke teavitatakse kohe, kui s</w:t>
      </w:r>
      <w:r w:rsidR="00CB4DEA">
        <w:t>ee on kasutamiseks kättesaadav.</w:t>
      </w:r>
    </w:p>
    <w:p w:rsidR="00E17FE6" w:rsidRDefault="00E17FE6" w:rsidP="00990B30">
      <w:pPr>
        <w:pStyle w:val="ECBBodyText"/>
        <w:jc w:val="both"/>
      </w:pPr>
      <w:r>
        <w:t xml:space="preserve">Kuni elektroonilise menetluse kasutuselevõtuni palutakse tasuvõlgnikel, kes soovivad teatada kavatsusest välja jätta ühtse järelevalvemehhanismi välistes riikides asutatud tütarettevõtjate varad ja/või riskipositsiooni summa, alla laadida teate vorm ja saata täidetud vorm meiliaadressile </w:t>
      </w:r>
      <w:hyperlink r:id="rId13" w:history="1">
        <w:r>
          <w:rPr>
            <w:rStyle w:val="Hyperlink"/>
          </w:rPr>
          <w:t>SSM-fee-enquiries@ecb.europa.eu</w:t>
        </w:r>
      </w:hyperlink>
      <w:r>
        <w:t>.</w:t>
      </w:r>
    </w:p>
    <w:p w:rsidR="00990B30" w:rsidRDefault="00990B30" w:rsidP="00990B30">
      <w:pPr>
        <w:pStyle w:val="ECBBodyText"/>
        <w:jc w:val="both"/>
      </w:pPr>
      <w:r>
        <w:t>EKP peab teate kätte saama tasuperioodi 30. septembriks, et EKP ja riiklikud pädevad asutused oleksid teadlikud, kas järelevalve alla kuuluv grupp kavatseb esitada tasutegurite andmeid eraldi andmekogumismenetluse raames, mida kirjeldatakse otsuse (EL) 2019/2158 (EKP/2019/38) artikli 3 lõigetes 2 ja 3.</w:t>
      </w:r>
    </w:p>
    <w:p w:rsidR="00990B30" w:rsidRPr="0017289D" w:rsidRDefault="00990B30" w:rsidP="00990B30">
      <w:pPr>
        <w:pStyle w:val="ECBBodyText"/>
        <w:jc w:val="both"/>
      </w:pPr>
      <w:r>
        <w:t>Kui EKP-le teadet ei laeku, eeldab ta, et tasuvõlgnik ei kavatse ühtse järelevalvemehhanismi välistes riikides asutatud tütarettevõtjate andmeid välja jätta. Sel juhul kasutab EKP järelevalvetasu arvutamiseks finantsaruandluse (FINREP) ja ühtse aruandluse (COREP) andmeid. Tasuvõlgnikel</w:t>
      </w:r>
      <w:r w:rsidR="004C2856">
        <w:t xml:space="preserve"> on ühtlasi võimalus otsustada </w:t>
      </w:r>
      <w:r>
        <w:t>ühtse järelevalvemehhanismi välistes riikides asutatud tütarettevõtjate andmed välja jätta ainult ühe tasuteguri puhul kahest. Näiteks võib tasuvõlgnik välja jätta ainult koguriskipositsiooni andmed. Sel juhul eeldab EKP, et koguriskipositsiooni andmed esitatakse eraldi andmekogumismenetluse raames ning ta kasutab koguvara tasuteguri kindlaksmääramisel finantsaruandluse andmeid kooskõlas otsuse (EL) 2019/2158 (EKP/2019/38) artikli 3 lõike 1 punktiga b.</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Teate vorm: teade kavatsuse kohta välja jätta ühtse järelevalvemehhanismi välistes riikides asutatud tütarettevõtjate varad ja/või riskipositsiooni summa</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4"/>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[Tasuvõlgniku nimi]</w:t>
      </w:r>
    </w:p>
    <w:p w:rsidR="004D487B" w:rsidRPr="0017289D" w:rsidRDefault="00CD15B0" w:rsidP="00512A63">
      <w:pPr>
        <w:pStyle w:val="Default"/>
        <w:rPr>
          <w:rFonts w:ascii="Arial" w:hAnsi="Arial" w:cs="Arial"/>
          <w:sz w:val="20"/>
          <w:szCs w:val="20"/>
        </w:rPr>
      </w:pPr>
      <w:r>
        <w:rPr>
          <w:rFonts w:ascii="Arial" w:hAnsi="Arial"/>
          <w:sz w:val="20"/>
          <w:szCs w:val="20"/>
        </w:rPr>
        <w:t>[Kontaktisik]</w:t>
      </w:r>
    </w:p>
    <w:p w:rsidR="004D487B" w:rsidRPr="0017289D" w:rsidRDefault="00ED2C7F" w:rsidP="004D487B">
      <w:pPr>
        <w:pStyle w:val="Default"/>
        <w:rPr>
          <w:rFonts w:ascii="Arial" w:hAnsi="Arial" w:cs="Arial"/>
          <w:sz w:val="20"/>
          <w:szCs w:val="20"/>
        </w:rPr>
      </w:pPr>
      <w:r>
        <w:rPr>
          <w:rFonts w:ascii="Arial" w:hAnsi="Arial"/>
          <w:sz w:val="20"/>
          <w:szCs w:val="20"/>
        </w:rPr>
        <w:t>[Osakond]</w:t>
      </w:r>
    </w:p>
    <w:p w:rsidR="00697773" w:rsidRPr="0017289D" w:rsidRDefault="00CB4DEA" w:rsidP="00697773">
      <w:pPr>
        <w:pStyle w:val="Default"/>
        <w:rPr>
          <w:rFonts w:ascii="Arial" w:hAnsi="Arial" w:cs="Arial"/>
          <w:sz w:val="20"/>
          <w:szCs w:val="20"/>
        </w:rPr>
      </w:pPr>
      <w:r>
        <w:rPr>
          <w:rFonts w:ascii="Arial" w:hAnsi="Arial"/>
          <w:sz w:val="20"/>
          <w:szCs w:val="20"/>
        </w:rPr>
        <w:t>[Aadress ja meiliaadress]</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Teade kavatsuse kohta välja jätta ühtse järelevalvemehhanismi välistes riikides asutatud tütarettevõtjate varad ja/või riskipositsiooni summa EKP järelevalvetasu arvutamisel YYYY. aastal</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Tasuvõlgnik:</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[Nimi]</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Tasuvõlgniku juriidilise isiku tunnus (LEI kood):</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Järelevalve alla kuuluv grupp:</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[Nimi]</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Järelevalve alla kuuluva grupi juriidilise isiku tunnus (LEI kood)</w:t>
            </w:r>
            <w:r w:rsidR="00894AE1">
              <w:rPr>
                <w:rStyle w:val="FootnoteReference"/>
                <w:rFonts w:cs="Arial"/>
                <w:sz w:val="18"/>
                <w:szCs w:val="18"/>
              </w:rPr>
              <w:footnoteReference w:id="3"/>
            </w:r>
            <w:r>
              <w:rPr>
                <w:sz w:val="18"/>
                <w:szCs w:val="18"/>
              </w:rPr>
              <w:t>:</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SSMi-väliste tütarettevõtjate andmete väljajätmine:</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[Valida üks või mõlemad]</w:t>
            </w:r>
          </w:p>
          <w:p w:rsidR="00B10D8F" w:rsidRDefault="00275831"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Koguriskipositsiooni tasutegur</w:t>
            </w:r>
            <w:r w:rsidR="00D76680">
              <w:rPr>
                <w:sz w:val="18"/>
                <w:szCs w:val="18"/>
                <w:u w:val="single"/>
              </w:rPr>
              <w:t xml:space="preserve"> </w:t>
            </w:r>
          </w:p>
          <w:p w:rsidR="00AF0B4A" w:rsidRPr="0017289D" w:rsidRDefault="00275831"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Koguvarade tasutegur</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EKP-le esitamise kuupäev:</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[kuupäev/kuu/aasta]</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F90002" w:rsidRPr="00F90002" w:rsidRDefault="00F90002" w:rsidP="00F90002"/>
    <w:p w:rsidR="000D530E" w:rsidRPr="00F90002" w:rsidRDefault="000D530E" w:rsidP="00F90002">
      <w:pPr>
        <w:tabs>
          <w:tab w:val="left" w:pos="3851"/>
        </w:tabs>
      </w:pPr>
      <w:bookmarkStart w:id="2" w:name="_GoBack"/>
      <w:bookmarkEnd w:id="2"/>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t xml:space="preserve">Viimati prinditud: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275831">
      <w:rPr>
        <w:szCs w:val="17"/>
      </w:rPr>
      <w:t>1</w:t>
    </w:r>
    <w:r w:rsidRPr="00D445EB">
      <w:rPr>
        <w:szCs w:val="17"/>
      </w:rPr>
      <w:fldChar w:fldCharType="end"/>
    </w:r>
    <w:r>
      <w:t>/</w:t>
    </w:r>
    <w:r w:rsidRPr="00D445EB">
      <w:rPr>
        <w:szCs w:val="17"/>
      </w:rPr>
      <w:fldChar w:fldCharType="begin"/>
    </w:r>
    <w:r w:rsidRPr="00D445EB">
      <w:rPr>
        <w:szCs w:val="17"/>
      </w:rPr>
      <w:instrText xml:space="preserve"> NUMPAGES </w:instrText>
    </w:r>
    <w:r w:rsidRPr="00D445EB">
      <w:rPr>
        <w:szCs w:val="17"/>
      </w:rPr>
      <w:fldChar w:fldCharType="separate"/>
    </w:r>
    <w:r w:rsidR="00275831">
      <w:rPr>
        <w:szCs w:val="17"/>
      </w:rPr>
      <w:t>2</w:t>
    </w:r>
    <w:r w:rsidRPr="00D445EB">
      <w:rPr>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275831">
      <w:rPr>
        <w:szCs w:val="17"/>
      </w:rPr>
      <w:t>2</w:t>
    </w:r>
    <w:r w:rsidRPr="00D445EB">
      <w:rPr>
        <w:szCs w:val="17"/>
      </w:rPr>
      <w:fldChar w:fldCharType="end"/>
    </w:r>
    <w:r>
      <w:t>/</w:t>
    </w:r>
    <w:r w:rsidRPr="00D445EB">
      <w:rPr>
        <w:szCs w:val="17"/>
      </w:rPr>
      <w:fldChar w:fldCharType="begin"/>
    </w:r>
    <w:r w:rsidRPr="00D445EB">
      <w:rPr>
        <w:szCs w:val="17"/>
      </w:rPr>
      <w:instrText xml:space="preserve"> NUMPAGES </w:instrText>
    </w:r>
    <w:r w:rsidRPr="00D445EB">
      <w:rPr>
        <w:szCs w:val="17"/>
      </w:rPr>
      <w:fldChar w:fldCharType="separate"/>
    </w:r>
    <w:r w:rsidR="00275831">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Euroopa Keskpanga otsus (EL) 2019/2158, 5. detsember 2019, iga-aastase järelevalvetasu arvutamiseks kasutatavate teguritega seotud andmete määratlemise ja kogumise meetodite ja korra kohta (EKP/2019/38; ELT L 327, 17.12.2019, lk 99).</w:t>
      </w:r>
    </w:p>
  </w:footnote>
  <w:footnote w:id="2">
    <w:p w:rsidR="00B10D8F" w:rsidRDefault="00DD3B2D" w:rsidP="00B10D8F">
      <w:pPr>
        <w:pStyle w:val="FootnoteText"/>
        <w:jc w:val="both"/>
      </w:pPr>
      <w:r>
        <w:rPr>
          <w:rStyle w:val="FootnoteReference"/>
        </w:rPr>
        <w:footnoteRef/>
      </w:r>
      <w:r>
        <w:t xml:space="preserve"> </w:t>
      </w:r>
      <w:r>
        <w:tab/>
      </w:r>
      <w:r>
        <w:t>Nimi ja LEI kood vastavad tasu maksvale krediidiasutusele järelevalve alla kuuluva grupi kõr</w:t>
      </w:r>
      <w:r w:rsidR="00275831">
        <w:t>geimal konsolideerimistasandil.</w:t>
      </w:r>
    </w:p>
    <w:p w:rsidR="00DD3B2D" w:rsidRDefault="00B10D8F" w:rsidP="00B10D8F">
      <w:pPr>
        <w:pStyle w:val="FootnoteText"/>
        <w:jc w:val="both"/>
      </w:pPr>
      <w:r>
        <w:tab/>
        <w:t>Kui tasuvõlgnikuks on tasu maksev krediidiasutus järelevalve alla kuuluva grupi kõrgeimal konsolideerimistasandil, peavad nimi ja LEI kood ridadel 3 ja 4 ühtima nime</w:t>
      </w:r>
      <w:r w:rsidR="00C5153B">
        <w:t xml:space="preserve"> ja LEI koodiga ridadel 1 ja 2.</w:t>
      </w:r>
    </w:p>
  </w:footnote>
  <w:footnote w:id="3">
    <w:p w:rsidR="00894AE1" w:rsidRDefault="00894AE1">
      <w:pPr>
        <w:pStyle w:val="FootnoteText"/>
      </w:pPr>
      <w:r>
        <w:rPr>
          <w:rStyle w:val="FootnoteReference"/>
        </w:rPr>
        <w:footnoteRef/>
      </w:r>
      <w:r>
        <w:t xml:space="preserve"> </w:t>
      </w:r>
      <w:r>
        <w:tab/>
        <w:t>Kui LEI kood ei ole kättesaadav, palume märkida järelevalveala</w:t>
      </w:r>
      <w:r w:rsidR="00C5153B">
        <w:t>ses aruandluses kasutatav kood.</w:t>
      </w:r>
    </w:p>
  </w:footnote>
  <w:footnote w:id="4">
    <w:p w:rsidR="00EC0FA9" w:rsidRDefault="00EC0FA9">
      <w:pPr>
        <w:pStyle w:val="FootnoteText"/>
      </w:pPr>
      <w:r>
        <w:rPr>
          <w:rStyle w:val="FootnoteReference"/>
        </w:rPr>
        <w:footnoteRef/>
      </w:r>
      <w:r>
        <w:t xml:space="preserve"> </w:t>
      </w:r>
      <w:r>
        <w:tab/>
        <w:t>Vt joonealune märkus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B70EC"/>
    <w:rsid w:val="001C47C6"/>
    <w:rsid w:val="001E279E"/>
    <w:rsid w:val="001F3701"/>
    <w:rsid w:val="00201470"/>
    <w:rsid w:val="00231031"/>
    <w:rsid w:val="002323F4"/>
    <w:rsid w:val="002461FA"/>
    <w:rsid w:val="0026027A"/>
    <w:rsid w:val="00275831"/>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C2856"/>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5153B"/>
    <w:rsid w:val="00C70264"/>
    <w:rsid w:val="00C72471"/>
    <w:rsid w:val="00C823FA"/>
    <w:rsid w:val="00C83B5F"/>
    <w:rsid w:val="00C856C7"/>
    <w:rsid w:val="00C90EE0"/>
    <w:rsid w:val="00C9780F"/>
    <w:rsid w:val="00CA13FC"/>
    <w:rsid w:val="00CA75C5"/>
    <w:rsid w:val="00CB4DEA"/>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2C7F"/>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M-fee-enquiries@ecb.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7C2E-0A53-4F45-9F83-AA89B45D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Hallistvee, Mae</cp:lastModifiedBy>
  <cp:revision>8</cp:revision>
  <dcterms:created xsi:type="dcterms:W3CDTF">2020-05-06T09:27:00Z</dcterms:created>
  <dcterms:modified xsi:type="dcterms:W3CDTF">2020-05-07T07:57:00Z</dcterms:modified>
</cp:coreProperties>
</file>