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default" r:id="rId9"/>
          <w:footerReference w:type="default" r:id="rId10"/>
          <w:headerReference w:type="first" r:id="rId11"/>
          <w:footerReference w:type="first" r:id="rId12"/>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Υπόδειγμα γνωστοποίησης της πρόθεσης να εξαιρεθούν στοιχεία ενεργητικού ή/και ποσά έκθεσης σε κίνδυνο θυγατρικών εκτός ΕΕΜ για εποπτευόμενους ομίλους</w:t>
      </w:r>
    </w:p>
    <w:p w:rsidR="00C823FA" w:rsidRPr="0017289D" w:rsidRDefault="00F208F0" w:rsidP="00F208F0">
      <w:pPr>
        <w:pStyle w:val="ECBBodyText"/>
        <w:tabs>
          <w:tab w:val="left" w:pos="5565"/>
        </w:tabs>
        <w:jc w:val="both"/>
        <w:rPr>
          <w:rFonts w:cs="Times New Roman"/>
          <w:b/>
          <w:bCs/>
          <w:kern w:val="28"/>
          <w:sz w:val="24"/>
          <w:szCs w:val="20"/>
        </w:rPr>
      </w:pPr>
      <w:r>
        <w:rPr>
          <w:rFonts w:cs="Times New Roman"/>
          <w:b/>
          <w:bCs/>
          <w:kern w:val="28"/>
          <w:sz w:val="24"/>
          <w:szCs w:val="20"/>
        </w:rPr>
        <w:tab/>
      </w:r>
      <w:bookmarkStart w:id="1" w:name="_GoBack"/>
      <w:bookmarkEnd w:id="1"/>
    </w:p>
    <w:p w:rsidR="00E17FE6" w:rsidRDefault="00591635" w:rsidP="00990B30">
      <w:pPr>
        <w:pStyle w:val="ECBBodyText"/>
        <w:jc w:val="both"/>
      </w:pPr>
      <w:r>
        <w:t>Σύμφωνα με το άρθρο 4 της απόφασης (ΕΕ) 2019/2158 της Ευρωπαϊκής Κεντρικής Τράπεζας (ΕΚΤ/2019/38)</w:t>
      </w:r>
      <w:r w:rsidR="006B6013" w:rsidRPr="0017289D">
        <w:rPr>
          <w:rStyle w:val="FootnoteReference"/>
        </w:rPr>
        <w:footnoteReference w:id="1"/>
      </w:r>
      <w:r>
        <w:t xml:space="preserve"> οι οφειλέτες εποπτικού τέλους που προτίθενται να εξαιρέσουν στοιχεία ενεργητικού ή/και τα ποσά έκθεσης σε κίνδυνο θυγατρικών εγκατεστημένων σε μη συμμετέχοντα κράτη μέλη και τρίτες χώρες οφείλουν να γνωστοποιούν στην ΕΚΤ την απόφασή τους το αργότερο έως την 30ή Σεπτεμβρίου της περιόδου επιβολής τέλους για την οποία υπολογίζεται το εποπτικό τέλος. Προς τον σκοπό αυτό, θεσπίζεται ηλεκτρονική διαδικασία η οποία θα κοινοποιηθεί στους οφειλέτες εποπτικού τέλους μόλις καταστεί διαθέσιμη. </w:t>
      </w:r>
    </w:p>
    <w:p w:rsidR="00E17FE6" w:rsidRDefault="00E17FE6" w:rsidP="00990B30">
      <w:pPr>
        <w:pStyle w:val="ECBBodyText"/>
        <w:jc w:val="both"/>
      </w:pPr>
      <w:r>
        <w:t xml:space="preserve">Μέχρι να θεσπιστεί αυτή η διαδικασία, οι οφειλέτες εποπτικού τέλους που επιθυμούν να κοινοποιήσουν την πρόθεσή τους να εξαιρέσουν στοιχεία ενεργητικού ή/και τα ποσά έκθεσης σε κίνδυνο των θυγατρικών εκτός ΕΕΜ καλούνται να κατεβάσουν και να συμπληρώσουν το υπόδειγμα γνωστοποίησης και να το αποστείλουν στην ηλεκτρονική διεύθυνση </w:t>
      </w:r>
      <w:hyperlink r:id="rId13" w:history="1">
        <w:r>
          <w:rPr>
            <w:rStyle w:val="Hyperlink"/>
          </w:rPr>
          <w:t>SSM-fee-enquiries@ecb.europa.eu</w:t>
        </w:r>
      </w:hyperlink>
      <w:r>
        <w:t>.</w:t>
      </w:r>
    </w:p>
    <w:p w:rsidR="00990B30" w:rsidRDefault="00990B30" w:rsidP="00990B30">
      <w:pPr>
        <w:pStyle w:val="ECBBodyText"/>
        <w:jc w:val="both"/>
      </w:pPr>
      <w:r>
        <w:t>Η γνωστοποίηση θα πρέπει να περιέλθει στην ΕΚΤ μέχρι τις 30 Σεπτεμβρίου της περιόδου επιβολής τέλους, ούτως ώστε η ΕΚΤ και οι εθνικές αρμόδιες αρχές να γνωρίζουν κατά πόσο θα αναμένουν ή όχι στοιχεία σχετικά με τους συντελεστές υπολογισμού εποπτικού τέλους από τον εποπτευόμενο όμιλο μέσω της ξεχωριστής διαδικασίας συλλογής που περιγράφεται στο άρθρο 3 παράγραφοι 2 και 3 της απόφασης (ΕΕ) 2019/2158 (ΕΚΤ/2019/38).</w:t>
      </w:r>
    </w:p>
    <w:p w:rsidR="00990B30" w:rsidRPr="0017289D" w:rsidRDefault="00990B30" w:rsidP="00990B30">
      <w:pPr>
        <w:pStyle w:val="ECBBodyText"/>
        <w:jc w:val="both"/>
      </w:pPr>
      <w:r>
        <w:t>Αν η ΕΚΤ δεν λάβει τέτοια γνωστοποίηση, θα θεωρήσει ότι ο οφειλέτης εποπτικού τέλους δεν επιθυμεί να εξαιρέσει τη συνεισφορά των θυγατρικών εκτός ΕΕΜ και επομένως θα επαναχρησιμοποιήσει τα στοιχεία που είναι διαθέσιμα μέσω της χρηματοοικονομικής πληροφόρησης (FINREP) και της κοινής πληροφόρησης (COREP) για τον υπολογισμό του εποπτικού τέλους. Οι οφειλέτες εποπτικού τέλους έχουν επίσης την επιλογή να εξαιρέσουν τη συνεισφορά των θυγατρικών εκτός ΕΕΜ για έναν μόνο από τους δύο συντελεστές. Για παράδειγμα, ο οφειλέτης εποπτικού τέλους μπορεί να επιλέξει να εξαιρέσει μόνο τη συνολική έκθεση σε κίνδυνο (</w:t>
      </w:r>
      <w:proofErr w:type="spellStart"/>
      <w:r>
        <w:t>total</w:t>
      </w:r>
      <w:proofErr w:type="spellEnd"/>
      <w:r>
        <w:t xml:space="preserve"> </w:t>
      </w:r>
      <w:proofErr w:type="spellStart"/>
      <w:r>
        <w:t>risk</w:t>
      </w:r>
      <w:proofErr w:type="spellEnd"/>
      <w:r>
        <w:t xml:space="preserve"> </w:t>
      </w:r>
      <w:proofErr w:type="spellStart"/>
      <w:r>
        <w:t>exposure</w:t>
      </w:r>
      <w:proofErr w:type="spellEnd"/>
      <w:r>
        <w:t xml:space="preserve"> – TRE), περίπτωση στην οποία η ΕΚΤ θα πρέπει να λάβει στοιχεία σχετικά με τον συντελεστή για τη συνολική έκθεση σε κίνδυνο μέσω της ξεχωριστής διαδικασίας συλλογής και θα επαναχρησιμοποιήσει τα στοιχεία που είναι διαθέσιμα μέσω της FINREP για να προσδιορίσει τον συντελεστή για τα συνολικά στοιχεία ενεργητικού (</w:t>
      </w:r>
      <w:proofErr w:type="spellStart"/>
      <w:r>
        <w:t>total</w:t>
      </w:r>
      <w:proofErr w:type="spellEnd"/>
      <w:r>
        <w:t xml:space="preserve"> </w:t>
      </w:r>
      <w:proofErr w:type="spellStart"/>
      <w:r>
        <w:t>assets</w:t>
      </w:r>
      <w:proofErr w:type="spellEnd"/>
      <w:r>
        <w:t xml:space="preserve"> - TA) σύμφωνα με το άρθρο 3 παράγραφος 1 στοιχείο β) της απόφασης (ΕΕ) 2019/2158 (ΕΚΤ/2019/38).</w:t>
      </w:r>
    </w:p>
    <w:p w:rsidR="00512A63" w:rsidRPr="0017289D" w:rsidRDefault="00BD6005" w:rsidP="00070969">
      <w:pPr>
        <w:pStyle w:val="Default"/>
        <w:jc w:val="center"/>
        <w:rPr>
          <w:color w:val="0046AC"/>
          <w:sz w:val="22"/>
          <w:szCs w:val="22"/>
        </w:rPr>
      </w:pPr>
      <w:r>
        <w:rPr>
          <w:b/>
          <w:bCs/>
          <w:color w:val="0046AC"/>
          <w:sz w:val="22"/>
          <w:szCs w:val="22"/>
        </w:rPr>
        <w:lastRenderedPageBreak/>
        <w:t>Υπόδειγμα γνωστοποίησης της πρόθεσης να εξαιρεθούν στοιχεία ενεργητικού ή/και ποσά έκθεσης σε κίνδυνο θυγατρικών εκτός ΕΕΜ</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4"/>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[Όνομα οφειλέτη εποπτικού τέλους]</w:t>
      </w:r>
    </w:p>
    <w:p w:rsidR="004D487B" w:rsidRPr="0017289D" w:rsidRDefault="00CD15B0" w:rsidP="00512A63">
      <w:pPr>
        <w:pStyle w:val="Default"/>
        <w:rPr>
          <w:rFonts w:ascii="Arial" w:hAnsi="Arial" w:cs="Arial"/>
          <w:sz w:val="20"/>
          <w:szCs w:val="20"/>
        </w:rPr>
      </w:pPr>
      <w:r>
        <w:rPr>
          <w:rFonts w:ascii="Arial" w:hAnsi="Arial"/>
          <w:sz w:val="20"/>
          <w:szCs w:val="20"/>
        </w:rPr>
        <w:t>[Όνομα υπευθύνου επικοινωνίας]</w:t>
      </w:r>
    </w:p>
    <w:p w:rsidR="004D487B" w:rsidRPr="0017289D" w:rsidRDefault="00CD15B0" w:rsidP="004D487B">
      <w:pPr>
        <w:pStyle w:val="Default"/>
        <w:rPr>
          <w:rFonts w:ascii="Arial" w:hAnsi="Arial" w:cs="Arial"/>
          <w:sz w:val="20"/>
          <w:szCs w:val="20"/>
        </w:rPr>
      </w:pPr>
      <w:r>
        <w:rPr>
          <w:rFonts w:ascii="Arial" w:hAnsi="Arial"/>
          <w:sz w:val="20"/>
          <w:szCs w:val="20"/>
        </w:rPr>
        <w:t xml:space="preserve">[Τμήμα] </w:t>
      </w:r>
    </w:p>
    <w:p w:rsidR="00697773" w:rsidRPr="0017289D" w:rsidRDefault="00697773" w:rsidP="00697773">
      <w:pPr>
        <w:pStyle w:val="Default"/>
        <w:rPr>
          <w:rFonts w:ascii="Arial" w:hAnsi="Arial" w:cs="Arial"/>
          <w:sz w:val="20"/>
          <w:szCs w:val="20"/>
        </w:rPr>
      </w:pPr>
      <w:r>
        <w:rPr>
          <w:rFonts w:ascii="Arial" w:hAnsi="Arial"/>
          <w:sz w:val="20"/>
          <w:szCs w:val="20"/>
        </w:rPr>
        <w:t xml:space="preserve">[Διεύθυνση και ηλεκτρονική διεύθυνση]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Γνωστοποίηση της πρόθεσης να εξαιρεθούν στοιχεία ενεργητικού ή/και ποσά έκθεσης σε κίνδυνο θυγατρικών εκτός ΕΕΜ για τον υπολογισμό του εποπτικού τέλους της ΕΚΤ του EEEE</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Όνομα οφειλέτη εποπτικού τέλους:</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[Επωνυμία]</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Κωδικός αναγνώρισης νομικής οντότητας (</w:t>
            </w:r>
            <w:proofErr w:type="spellStart"/>
            <w:r>
              <w:rPr>
                <w:sz w:val="18"/>
                <w:szCs w:val="18"/>
              </w:rPr>
              <w:t>Legal</w:t>
            </w:r>
            <w:proofErr w:type="spellEnd"/>
            <w:r>
              <w:rPr>
                <w:sz w:val="18"/>
                <w:szCs w:val="18"/>
              </w:rPr>
              <w:t xml:space="preserve"> </w:t>
            </w:r>
            <w:proofErr w:type="spellStart"/>
            <w:r>
              <w:rPr>
                <w:sz w:val="18"/>
                <w:szCs w:val="18"/>
              </w:rPr>
              <w:t>Entity</w:t>
            </w:r>
            <w:proofErr w:type="spellEnd"/>
            <w:r>
              <w:rPr>
                <w:sz w:val="18"/>
                <w:szCs w:val="18"/>
              </w:rPr>
              <w:t xml:space="preserve"> </w:t>
            </w:r>
            <w:proofErr w:type="spellStart"/>
            <w:r>
              <w:rPr>
                <w:sz w:val="18"/>
                <w:szCs w:val="18"/>
              </w:rPr>
              <w:t>Identifier</w:t>
            </w:r>
            <w:proofErr w:type="spellEnd"/>
            <w:r>
              <w:rPr>
                <w:sz w:val="18"/>
                <w:szCs w:val="18"/>
              </w:rPr>
              <w:t xml:space="preserve"> – LEI) του οφειλέτη εποπτικού τέλους:</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Επωνυμία εποπτευόμενου ομίλου:</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[Επωνυμία]</w:t>
            </w:r>
            <w:bookmarkStart w:id="2" w:name="_Ref35874756"/>
            <w:r>
              <w:rPr>
                <w:rStyle w:val="FootnoteReference"/>
                <w:rFonts w:cs="Arial"/>
                <w:sz w:val="18"/>
                <w:szCs w:val="18"/>
              </w:rPr>
              <w:footnoteReference w:id="2"/>
            </w:r>
            <w:bookmarkEnd w:id="2"/>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Κωδικός αναγνώρισης νομικής οντότητας (</w:t>
            </w:r>
            <w:proofErr w:type="spellStart"/>
            <w:r>
              <w:rPr>
                <w:sz w:val="18"/>
                <w:szCs w:val="18"/>
              </w:rPr>
              <w:t>Legal</w:t>
            </w:r>
            <w:proofErr w:type="spellEnd"/>
            <w:r>
              <w:rPr>
                <w:sz w:val="18"/>
                <w:szCs w:val="18"/>
              </w:rPr>
              <w:t xml:space="preserve"> </w:t>
            </w:r>
            <w:proofErr w:type="spellStart"/>
            <w:r>
              <w:rPr>
                <w:sz w:val="18"/>
                <w:szCs w:val="18"/>
              </w:rPr>
              <w:t>Entity</w:t>
            </w:r>
            <w:proofErr w:type="spellEnd"/>
            <w:r>
              <w:rPr>
                <w:sz w:val="18"/>
                <w:szCs w:val="18"/>
              </w:rPr>
              <w:t xml:space="preserve"> </w:t>
            </w:r>
            <w:proofErr w:type="spellStart"/>
            <w:r>
              <w:rPr>
                <w:sz w:val="18"/>
                <w:szCs w:val="18"/>
              </w:rPr>
              <w:t>Identifier</w:t>
            </w:r>
            <w:proofErr w:type="spellEnd"/>
            <w:r>
              <w:rPr>
                <w:sz w:val="18"/>
                <w:szCs w:val="18"/>
              </w:rPr>
              <w:t xml:space="preserve"> – LEI)</w:t>
            </w:r>
            <w:r w:rsidR="00894AE1">
              <w:rPr>
                <w:rStyle w:val="FootnoteReference"/>
                <w:rFonts w:cs="Arial"/>
                <w:sz w:val="18"/>
                <w:szCs w:val="18"/>
              </w:rPr>
              <w:footnoteReference w:id="3"/>
            </w:r>
            <w:r>
              <w:rPr>
                <w:sz w:val="18"/>
                <w:szCs w:val="18"/>
              </w:rPr>
              <w:t xml:space="preserve"> του εποπτευόμενου ομίλου:</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Εξαίρεση συνεισφοράς θυγατρικών εκτός ΕΕΜ:</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[Επιλέξτε μία ή και τις δύο επιλογές κατά περίπτωση]</w:t>
            </w:r>
          </w:p>
          <w:p w:rsidR="00B10D8F" w:rsidRDefault="00F208F0"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Συντελεστής υπολογισμού τέλους για τη συνολική έκθεση σε κίνδυνο</w:t>
            </w:r>
            <w:r w:rsidR="00D76680">
              <w:rPr>
                <w:sz w:val="18"/>
                <w:szCs w:val="18"/>
                <w:u w:val="single"/>
              </w:rPr>
              <w:t xml:space="preserve"> </w:t>
            </w:r>
          </w:p>
          <w:p w:rsidR="00AF0B4A" w:rsidRPr="0017289D" w:rsidRDefault="00F208F0"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Συντελεστής υπολογισμού τέλους για τα συνολικά στοιχεία ενεργητικού</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Ημερομηνία υποβολής στην ΕΚΤ</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ηη</w:t>
            </w:r>
            <w:proofErr w:type="spellEnd"/>
            <w:r>
              <w:rPr>
                <w:sz w:val="18"/>
                <w:szCs w:val="18"/>
              </w:rPr>
              <w:t>/μμ/</w:t>
            </w:r>
            <w:proofErr w:type="spellStart"/>
            <w:r>
              <w:rPr>
                <w:sz w:val="18"/>
                <w:szCs w:val="18"/>
              </w:rPr>
              <w:t>εεε</w:t>
            </w:r>
            <w:proofErr w:type="spellEnd"/>
            <w:r>
              <w:rPr>
                <w:sz w:val="18"/>
                <w:szCs w:val="18"/>
              </w:rPr>
              <w:t>ε)</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Default="00F90002" w:rsidP="00F90002"/>
    <w:p w:rsidR="000D530E" w:rsidRPr="00F90002" w:rsidRDefault="00F90002" w:rsidP="00F90002">
      <w:pPr>
        <w:tabs>
          <w:tab w:val="left" w:pos="3851"/>
        </w:tabs>
      </w:pPr>
      <w:r>
        <w:tab/>
      </w: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Σελίδα </w:t>
    </w:r>
    <w:r>
      <w:fldChar w:fldCharType="begin"/>
    </w:r>
    <w:r>
      <w:instrText xml:space="preserve"> PAGE </w:instrText>
    </w:r>
    <w:r>
      <w:fldChar w:fldCharType="separate"/>
    </w:r>
    <w:r>
      <w:t>1</w:t>
    </w:r>
    <w:r>
      <w:fldChar w:fldCharType="end"/>
    </w:r>
    <w:r>
      <w:t xml:space="preserve"> από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t xml:space="preserve">Τελευταία εκτύπωση: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Σελίδα </w:t>
    </w:r>
    <w:r w:rsidRPr="00D445EB">
      <w:rPr>
        <w:szCs w:val="17"/>
      </w:rPr>
      <w:fldChar w:fldCharType="begin"/>
    </w:r>
    <w:r w:rsidRPr="00D445EB">
      <w:rPr>
        <w:szCs w:val="17"/>
      </w:rPr>
      <w:instrText xml:space="preserve"> PAGE </w:instrText>
    </w:r>
    <w:r w:rsidRPr="00D445EB">
      <w:rPr>
        <w:szCs w:val="17"/>
      </w:rPr>
      <w:fldChar w:fldCharType="separate"/>
    </w:r>
    <w:r w:rsidR="00F208F0">
      <w:rPr>
        <w:szCs w:val="17"/>
      </w:rPr>
      <w:t>1</w:t>
    </w:r>
    <w:r w:rsidRPr="00D445EB">
      <w:rPr>
        <w:szCs w:val="17"/>
      </w:rPr>
      <w:fldChar w:fldCharType="end"/>
    </w:r>
    <w:r>
      <w:t xml:space="preserve"> από </w:t>
    </w:r>
    <w:r w:rsidRPr="00D445EB">
      <w:rPr>
        <w:szCs w:val="17"/>
      </w:rPr>
      <w:fldChar w:fldCharType="begin"/>
    </w:r>
    <w:r w:rsidRPr="00D445EB">
      <w:rPr>
        <w:szCs w:val="17"/>
      </w:rPr>
      <w:instrText xml:space="preserve"> NUMPAGES </w:instrText>
    </w:r>
    <w:r w:rsidRPr="00D445EB">
      <w:rPr>
        <w:szCs w:val="17"/>
      </w:rPr>
      <w:fldChar w:fldCharType="separate"/>
    </w:r>
    <w:r w:rsidR="00F208F0">
      <w:rPr>
        <w:szCs w:val="17"/>
      </w:rPr>
      <w:t>2</w:t>
    </w:r>
    <w:r w:rsidRPr="00D445EB">
      <w:rPr>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Σελίδα </w:t>
    </w:r>
    <w:r w:rsidRPr="00D445EB">
      <w:rPr>
        <w:szCs w:val="17"/>
      </w:rPr>
      <w:fldChar w:fldCharType="begin"/>
    </w:r>
    <w:r w:rsidRPr="00D445EB">
      <w:rPr>
        <w:szCs w:val="17"/>
      </w:rPr>
      <w:instrText xml:space="preserve"> PAGE </w:instrText>
    </w:r>
    <w:r w:rsidRPr="00D445EB">
      <w:rPr>
        <w:szCs w:val="17"/>
      </w:rPr>
      <w:fldChar w:fldCharType="separate"/>
    </w:r>
    <w:r w:rsidR="00F208F0">
      <w:rPr>
        <w:szCs w:val="17"/>
      </w:rPr>
      <w:t>2</w:t>
    </w:r>
    <w:r w:rsidRPr="00D445EB">
      <w:rPr>
        <w:szCs w:val="17"/>
      </w:rPr>
      <w:fldChar w:fldCharType="end"/>
    </w:r>
    <w:r>
      <w:t xml:space="preserve"> από </w:t>
    </w:r>
    <w:r w:rsidRPr="00D445EB">
      <w:rPr>
        <w:szCs w:val="17"/>
      </w:rPr>
      <w:fldChar w:fldCharType="begin"/>
    </w:r>
    <w:r w:rsidRPr="00D445EB">
      <w:rPr>
        <w:szCs w:val="17"/>
      </w:rPr>
      <w:instrText xml:space="preserve"> NUMPAGES </w:instrText>
    </w:r>
    <w:r w:rsidRPr="00D445EB">
      <w:rPr>
        <w:szCs w:val="17"/>
      </w:rPr>
      <w:fldChar w:fldCharType="separate"/>
    </w:r>
    <w:r w:rsidR="00F208F0">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Απόφαση (ΕΕ) 2019/2158 της Ευρωπαϊκής Κεντρικής Τράπεζας, της 5ης Δεκεμβρίου 2019, σχετικά με τη μεθοδολογία και τις διαδικασίες καθορισμού και συλλογής δεδομένων όσον αφορά τους συντελεστές βάσει των οποίων υπολογίζονται τα ετήσια εποπτικά τέλη (ΕΚΤ/2019/38) (ΕΕ L 327, 17.12.2019, σ. 99).</w:t>
      </w:r>
    </w:p>
  </w:footnote>
  <w:footnote w:id="2">
    <w:p w:rsidR="00B10D8F" w:rsidRDefault="00DD3B2D" w:rsidP="00B10D8F">
      <w:pPr>
        <w:pStyle w:val="FootnoteText"/>
        <w:jc w:val="both"/>
      </w:pPr>
      <w:r>
        <w:rPr>
          <w:rStyle w:val="FootnoteReference"/>
        </w:rPr>
        <w:footnoteRef/>
      </w:r>
      <w:r>
        <w:t xml:space="preserve"> </w:t>
      </w:r>
      <w:r>
        <w:tab/>
        <w:t xml:space="preserve">Η επωνυμία και ο κωδικός LEI αντιστοιχούν στο υπόχρεο καταβολής τέλους πιστωτικό ίδρυμα που αντιπροσωπεύει το υψηλότερο επίπεδο ενοποίησης εντός του εποπτευόμενου ομίλου. </w:t>
      </w:r>
    </w:p>
    <w:p w:rsidR="00DD3B2D" w:rsidRDefault="00B10D8F" w:rsidP="00B10D8F">
      <w:pPr>
        <w:pStyle w:val="FootnoteText"/>
        <w:jc w:val="both"/>
      </w:pPr>
      <w:r>
        <w:tab/>
        <w:t xml:space="preserve">Αν ο διορισμένος οφειλέτης εποπτικού τέλους είναι ίδιος με το υπόχρεο καταβολής τέλους πιστωτικό ίδρυμα που αντιπροσωπεύει το υψηλότερο επίπεδο ενοποίησης εντός του εποπτευόμενου ομίλου, η επωνυμία και ο κωδικός LEI που περιλαμβάνονται στις σειρές 3 και 4 θα πρέπει να είναι ίδιοι με την επωνυμία και τον κωδικό LEI που περιλαμβάνονται στις σειρές 1 και 2. </w:t>
      </w:r>
    </w:p>
  </w:footnote>
  <w:footnote w:id="3">
    <w:p w:rsidR="00894AE1" w:rsidRDefault="00894AE1">
      <w:pPr>
        <w:pStyle w:val="FootnoteText"/>
      </w:pPr>
      <w:r>
        <w:rPr>
          <w:rStyle w:val="FootnoteReference"/>
        </w:rPr>
        <w:footnoteRef/>
      </w:r>
      <w:r>
        <w:t xml:space="preserve"> </w:t>
      </w:r>
      <w:r>
        <w:tab/>
        <w:t>Σε περιπτώσεις κατά τις οποίες ο κωδικός LEI δεν είν</w:t>
      </w:r>
      <w:r w:rsidR="00F208F0">
        <w:t xml:space="preserve">αι διαθέσιμος, παρακαλείσθε να </w:t>
      </w:r>
      <w:r>
        <w:t xml:space="preserve">εισαγάγετε τον κωδικό που χρησιμοποιείτε για σκοπούς εποπτικής πληροφόρησης. </w:t>
      </w:r>
    </w:p>
  </w:footnote>
  <w:footnote w:id="4">
    <w:p w:rsidR="00EC0FA9" w:rsidRDefault="00EC0FA9">
      <w:pPr>
        <w:pStyle w:val="FootnoteText"/>
      </w:pPr>
      <w:r>
        <w:rPr>
          <w:rStyle w:val="FootnoteReference"/>
        </w:rPr>
        <w:footnoteRef/>
      </w:r>
      <w:r>
        <w:t xml:space="preserve"> </w:t>
      </w:r>
      <w:r>
        <w:tab/>
        <w:t>Βλ. υποσημείωση 2 παραπάνω.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08F0"/>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M-fee-enquiries@ecb.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378D-4778-470F-9684-2678CC3F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papasot</cp:lastModifiedBy>
  <cp:revision>3</cp:revision>
  <dcterms:created xsi:type="dcterms:W3CDTF">2020-05-06T09:27:00Z</dcterms:created>
  <dcterms:modified xsi:type="dcterms:W3CDTF">2020-05-07T12:25:00Z</dcterms:modified>
</cp:coreProperties>
</file>