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bookmarkStart w:id="1" w:name="_GoBack"/>
      <w:bookmarkEnd w:id="1"/>
      <w:r>
        <w:rPr>
          <w:b/>
          <w:bCs/>
          <w:sz w:val="24"/>
          <w:szCs w:val="20"/>
        </w:rPr>
        <w:lastRenderedPageBreak/>
        <w:t>Skabelon til administrationsskrivelse</w:t>
      </w:r>
    </w:p>
    <w:p w:rsidR="00512A63" w:rsidRDefault="00E464AD" w:rsidP="0038667F">
      <w:pPr>
        <w:pStyle w:val="ECBBodyText"/>
        <w:jc w:val="both"/>
      </w:pPr>
      <w:r>
        <w:t>I henhold til artikel 3, stk. 1, litra b), og artikel 3, stk. 3, i Den Eur</w:t>
      </w:r>
      <w:r w:rsidR="00773461">
        <w:t xml:space="preserve">opæiske Centralbanks afgørelse </w:t>
      </w:r>
      <w:r w:rsidR="004361BB">
        <w:t>(</w:t>
      </w:r>
      <w:r>
        <w:t>EU</w:t>
      </w:r>
      <w:r w:rsidR="004361BB">
        <w:t>)</w:t>
      </w:r>
      <w:r w:rsidR="00F84952">
        <w:t> </w:t>
      </w:r>
      <w:r w:rsidR="004361BB">
        <w:t>2158</w:t>
      </w:r>
      <w:proofErr w:type="gramStart"/>
      <w:r w:rsidR="004361BB">
        <w:t>/</w:t>
      </w:r>
      <w:r>
        <w:t>/</w:t>
      </w:r>
      <w:proofErr w:type="gramEnd"/>
      <w:r>
        <w:t>2019 (ECB/2019/</w:t>
      </w:r>
      <w:r w:rsidR="004361BB">
        <w:t>38</w:t>
      </w:r>
      <w:r>
        <w:t>)</w:t>
      </w:r>
      <w:r w:rsidR="006B6013">
        <w:rPr>
          <w:rStyle w:val="FootnoteReference"/>
        </w:rPr>
        <w:footnoteReference w:id="1"/>
      </w:r>
      <w:r>
        <w:t xml:space="preserve"> skal ledelsen attestere de gebyrbetalende filialers samlede aktiver ved at fremsende en administrationsskrivelse til den relevante kompetente nationale myndighed</w:t>
      </w:r>
      <w:r w:rsidR="00F61142">
        <w:t>.</w:t>
      </w:r>
      <w:r>
        <w:t xml:space="preserve"> Det vedlagte dokument indeholder en skabelon til førnævnte administrationsskrivelse, som de gebyrb</w:t>
      </w:r>
      <w:r w:rsidR="00F61142">
        <w:t>etalende filialer skal anvende.</w:t>
      </w:r>
    </w:p>
    <w:p w:rsidR="00512A63" w:rsidRDefault="00512A63" w:rsidP="0038667F">
      <w:pPr>
        <w:pStyle w:val="ECBBodyText"/>
        <w:jc w:val="both"/>
      </w:pPr>
      <w:r>
        <w:t>Administrationsskrivelsen skal være behørigt underskrevet af lederen af den gebyrbetalende filial, eller, hvis lederen ikke er til rådighed, af en repræsentant for ledelsesorganet i kreditinstituttet, som har etable</w:t>
      </w:r>
      <w:r w:rsidR="00F61142">
        <w:t xml:space="preserve">ret den gebyrbetalende filial. </w:t>
      </w:r>
      <w:r>
        <w:t>Ledelsesorganet er defineret i artikel 2 i afgørelse (EU) 2019</w:t>
      </w:r>
      <w:r w:rsidR="004361BB">
        <w:t>/2158</w:t>
      </w:r>
      <w:r>
        <w:t xml:space="preserve"> (ECB/2019/</w:t>
      </w:r>
      <w:r w:rsidR="004361BB">
        <w:t>38</w:t>
      </w:r>
      <w:r w:rsidR="00F61142">
        <w:t>).</w:t>
      </w:r>
    </w:p>
    <w:p w:rsidR="00D55477" w:rsidRPr="0038667F" w:rsidRDefault="00512A63" w:rsidP="0038667F">
      <w:pPr>
        <w:pStyle w:val="ECBBodyText"/>
        <w:jc w:val="both"/>
      </w:pPr>
      <w:r>
        <w:t xml:space="preserve">Det skal bemærkes, at de kompetente nationale myndigheder kan beslutte at tilpasse skabelonen til de særlige forhold, der gør sig </w:t>
      </w:r>
      <w:r w:rsidR="00F61142">
        <w:t xml:space="preserve">gældende i deres jurisdiktion. </w:t>
      </w:r>
      <w:r>
        <w:t>De kompetente nationale myndigheder bør underrette ECB, hvis skabelonen ændres.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070969" w:rsidRDefault="00070969" w:rsidP="006F6A85">
      <w:pPr>
        <w:pStyle w:val="Default"/>
        <w:rPr>
          <w:b/>
          <w:bCs/>
          <w:color w:val="0046AC"/>
          <w:sz w:val="22"/>
          <w:szCs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>Skabelon til administrationsskrivelse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4361B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Navn på gebyrbetalende filial</w:t>
      </w:r>
      <w:r>
        <w:rPr>
          <w:rFonts w:ascii="Arial" w:hAnsi="Arial"/>
          <w:sz w:val="20"/>
          <w:szCs w:val="20"/>
        </w:rPr>
        <w:t>]</w:t>
      </w:r>
    </w:p>
    <w:p w:rsidR="004D487B" w:rsidRDefault="004361B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Navn på kontaktperson</w:t>
      </w:r>
      <w:r>
        <w:rPr>
          <w:rFonts w:ascii="Arial" w:hAnsi="Arial"/>
          <w:sz w:val="20"/>
          <w:szCs w:val="20"/>
        </w:rPr>
        <w:t>]</w:t>
      </w:r>
    </w:p>
    <w:p w:rsidR="004D487B" w:rsidRPr="00570348" w:rsidRDefault="004361B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Afdeling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Pr="00570348" w:rsidRDefault="004361B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Adresse og e-mailadresse</w:t>
      </w:r>
      <w:r>
        <w:rPr>
          <w:rFonts w:ascii="Arial" w:hAnsi="Arial"/>
          <w:sz w:val="20"/>
          <w:szCs w:val="20"/>
        </w:rPr>
        <w:t>]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4361B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Navn på den kompetente nationale myndighed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4361B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Navn på kontaktperson</w:t>
      </w:r>
      <w:r>
        <w:rPr>
          <w:rFonts w:ascii="Arial" w:hAnsi="Arial"/>
          <w:sz w:val="20"/>
          <w:szCs w:val="20"/>
        </w:rPr>
        <w:t>]</w:t>
      </w:r>
    </w:p>
    <w:p w:rsidR="00512A63" w:rsidRPr="00570348" w:rsidRDefault="004361B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Afdeling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4361B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Adresse og e-mailadresse</w:t>
      </w:r>
      <w:r>
        <w:rPr>
          <w:rFonts w:ascii="Arial" w:hAnsi="Arial"/>
          <w:sz w:val="20"/>
          <w:szCs w:val="20"/>
        </w:rPr>
        <w:t>]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>Administrationsskrivelse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t xml:space="preserve">Vedrørende: </w:t>
      </w:r>
      <w:r>
        <w:rPr>
          <w:b/>
          <w:bCs/>
          <w:szCs w:val="20"/>
        </w:rPr>
        <w:t>Oplysninger til brug ved beregningen af ECB's tilsynsgebyr for [ÅÅÅÅ]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Navn på gebyrbetalende filial: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[Navn]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Identifikator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for monetære finansielle institutioner </w:t>
            </w:r>
            <w:r w:rsidR="00F61142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(MFI-kode):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[ÅÅXXXXX]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773461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Bilag til </w:t>
            </w:r>
            <w:r w:rsidR="00B05455">
              <w:rPr>
                <w:sz w:val="18"/>
                <w:szCs w:val="18"/>
              </w:rPr>
              <w:t>administrationsskrivelse: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[Vælg kun én mulighed]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Mulighed 1: Oplysningerne, som er indberettet i forbindelse med den tilsynsmæssige indberetning</w:t>
            </w:r>
          </w:p>
          <w:p w:rsidR="00AF0B4A" w:rsidRPr="00074997" w:rsidRDefault="00BD6005" w:rsidP="004361BB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Mulighed 2: Oplysningerne, som er indberettet i </w:t>
            </w:r>
            <w:r w:rsidR="00773461">
              <w:rPr>
                <w:sz w:val="18"/>
                <w:szCs w:val="18"/>
              </w:rPr>
              <w:t>skabelonen</w:t>
            </w:r>
            <w:r>
              <w:rPr>
                <w:sz w:val="18"/>
                <w:szCs w:val="18"/>
              </w:rPr>
              <w:t xml:space="preserve"> til beregning af gebyrfaktorer (jf. bilag II til ECB’s afgørelse ECB/2019/</w:t>
            </w:r>
            <w:r w:rsidR="004361BB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Dato for fremsendelse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af de oplysninger, der skal anvendes ved beregningen af tilsynsgebyr:</w:t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B55624" w:rsidP="004361BB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åååå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9A3258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Dato for fremsendelse af administrationsskrivelsen til den kompetente nationale myndighed:</w:t>
            </w:r>
          </w:p>
        </w:tc>
        <w:tc>
          <w:tcPr>
            <w:tcW w:w="4786" w:type="dxa"/>
          </w:tcPr>
          <w:p w:rsidR="00374A66" w:rsidRPr="00074997" w:rsidRDefault="00044B75" w:rsidP="004361BB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åååå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Navn på lederen af den gebyrbetalende filial eller navnet på den repræsentant for ledelsesorganet, som har valideret oplysningerne: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[Navn]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Stilling i institutionen: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[Stilling]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4361BB" w:rsidP="00EC1971">
      <w:pPr>
        <w:pStyle w:val="ECBBodyText"/>
        <w:spacing w:before="0" w:after="0" w:line="300" w:lineRule="exact"/>
        <w:jc w:val="center"/>
        <w:rPr>
          <w:rFonts w:cs="Arial"/>
        </w:rPr>
      </w:pPr>
      <w:r>
        <w:t>[</w:t>
      </w:r>
      <w:r w:rsidR="00074997">
        <w:t>Vælg</w:t>
      </w:r>
      <w:r w:rsidR="00F61142">
        <w:t xml:space="preserve"> den relevante tekst nedenfor. Vælges </w:t>
      </w:r>
      <w:r w:rsidR="00074997">
        <w:t>mulighed 1 o</w:t>
      </w:r>
      <w:r w:rsidR="00F61142">
        <w:t xml:space="preserve">venfor, skal tekst A anvendes. Vælges </w:t>
      </w:r>
      <w:r w:rsidR="00074997">
        <w:t>mulighed 2 ovenfor, skal tekst B anvendes</w:t>
      </w:r>
      <w:r>
        <w:t>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Tekst A</w:t>
      </w:r>
    </w:p>
    <w:p w:rsidR="000D530E" w:rsidRPr="00570348" w:rsidRDefault="000D530E" w:rsidP="00570348">
      <w:pPr>
        <w:pStyle w:val="ECBBodyText"/>
        <w:jc w:val="both"/>
      </w:pPr>
      <w:r>
        <w:t xml:space="preserve">Jeg har gennemgået og godkendt den endelige version af oplysningerne om den samlede værdi af aktiver, der skal anvendes ved beregningen af ECB's tilsynsgebyr, og attesterer, at disse oplysninger er </w:t>
      </w:r>
      <w:r>
        <w:lastRenderedPageBreak/>
        <w:t>blevet indsamlet i overensstemmelse med instrukserne i artikel 3, stk. 1, litra b) i Den Europæiske Centralbanks afgørelse (EU) 2019/</w:t>
      </w:r>
      <w:r w:rsidR="004361BB">
        <w:t>2158</w:t>
      </w:r>
      <w:r>
        <w:t xml:space="preserve"> (ECB/2019</w:t>
      </w:r>
      <w:r w:rsidR="004361BB">
        <w:t>/38</w:t>
      </w:r>
      <w:r>
        <w:t>)</w:t>
      </w:r>
      <w:r w:rsidR="008F68C8">
        <w:rPr>
          <w:rStyle w:val="FootnoteReference"/>
        </w:rPr>
        <w:footnoteReference w:id="3"/>
      </w:r>
      <w:r>
        <w:t>.</w:t>
      </w:r>
    </w:p>
    <w:p w:rsidR="005D0023" w:rsidRDefault="005D0023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t>Tekst B</w:t>
      </w:r>
    </w:p>
    <w:p w:rsidR="000D530E" w:rsidRDefault="007A718D" w:rsidP="00570348">
      <w:pPr>
        <w:pStyle w:val="ECBBodyText"/>
        <w:jc w:val="both"/>
      </w:pPr>
      <w:r>
        <w:t>Jeg bekræfter, at de nødvendige procedurer og kontroller er blevet anvendt til at sikre, at de udtrukne og rapporterede oplysninger er i overensstemmelse med definitionerne i artikel 2 i Den Europæiske Centralbanks forordning (EU) nr. 1163/2014</w:t>
      </w:r>
      <w:r w:rsidR="00773461">
        <w:t xml:space="preserve"> (ECB/2014/41)</w:t>
      </w:r>
      <w:r w:rsidR="008F68C8">
        <w:rPr>
          <w:rStyle w:val="FootnoteReference"/>
        </w:rPr>
        <w:footnoteReference w:id="4"/>
      </w:r>
      <w:r>
        <w:t xml:space="preserve"> og andre retning</w:t>
      </w:r>
      <w:r w:rsidR="00F61142">
        <w:t xml:space="preserve">slinjer i gældende lovgivning. </w:t>
      </w:r>
      <w:r>
        <w:t>Jeg har gennemgået og godkendt den endelige version af oplysningerne om den samlede værdi af aktiver, der skal anvendes til beregning af ECB's tilsynsgebyr, som fremgår af skabelonen til gebyrfaktorer.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Default="00570348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Navn på gebyrbetalende filial</w:t>
      </w:r>
      <w:r w:rsidR="004361BB">
        <w:rPr>
          <w:rFonts w:ascii="Arial" w:hAnsi="Arial"/>
          <w:sz w:val="20"/>
          <w:szCs w:val="20"/>
        </w:rPr>
        <w:t>: [XYZ]</w:t>
      </w:r>
    </w:p>
    <w:p w:rsidR="00F84952" w:rsidRPr="00570348" w:rsidRDefault="00F84952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Behørigt repræsenteret ved: </w:t>
      </w:r>
      <w:r w:rsidR="004361BB">
        <w:rPr>
          <w:rFonts w:ascii="Arial" w:hAnsi="Arial"/>
          <w:sz w:val="20"/>
          <w:szCs w:val="20"/>
        </w:rPr>
        <w:t>[XYZ]</w:t>
      </w:r>
    </w:p>
    <w:p w:rsidR="00F84952" w:rsidRPr="00570348" w:rsidRDefault="00F84952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Underskrift:</w:t>
      </w:r>
      <w:r w:rsidR="004361BB"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 xml:space="preserve"> _______________________ </w:t>
      </w:r>
      <w:r w:rsidR="004361BB">
        <w:rPr>
          <w:rFonts w:ascii="Arial" w:hAnsi="Arial"/>
          <w:sz w:val="20"/>
          <w:szCs w:val="20"/>
        </w:rPr>
        <w:t>]</w:t>
      </w:r>
    </w:p>
    <w:p w:rsidR="00F84952" w:rsidRPr="00570348" w:rsidRDefault="00F84952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Navn: </w:t>
      </w:r>
      <w:r w:rsidR="004361BB">
        <w:rPr>
          <w:rFonts w:ascii="Arial" w:hAnsi="Arial"/>
          <w:sz w:val="20"/>
          <w:szCs w:val="20"/>
        </w:rPr>
        <w:t>[XYZ]</w:t>
      </w:r>
    </w:p>
    <w:p w:rsidR="00F84952" w:rsidRPr="00570348" w:rsidRDefault="00F84952" w:rsidP="000D530E">
      <w:pPr>
        <w:pStyle w:val="Default"/>
        <w:rPr>
          <w:rFonts w:ascii="Arial" w:hAnsi="Arial" w:cs="Arial"/>
          <w:sz w:val="20"/>
          <w:szCs w:val="20"/>
        </w:rPr>
      </w:pPr>
    </w:p>
    <w:p w:rsidR="007212DB" w:rsidRDefault="00F64296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Titel:</w:t>
      </w:r>
      <w:r>
        <w:rPr>
          <w:rFonts w:ascii="Arial" w:hAnsi="Arial"/>
          <w:sz w:val="20"/>
          <w:szCs w:val="20"/>
        </w:rPr>
        <w:tab/>
      </w:r>
      <w:r w:rsidR="004361BB">
        <w:rPr>
          <w:rFonts w:ascii="Arial" w:hAnsi="Arial"/>
          <w:sz w:val="20"/>
          <w:szCs w:val="20"/>
        </w:rPr>
        <w:t>[XYZ]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33CF7">
        <w:rPr>
          <w:rFonts w:ascii="Arial" w:hAnsi="Arial"/>
          <w:sz w:val="20"/>
          <w:szCs w:val="20"/>
        </w:rPr>
        <w:tab/>
      </w:r>
      <w:r w:rsidR="00F33CF7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Dato:</w:t>
      </w:r>
      <w:r w:rsidR="004361BB">
        <w:rPr>
          <w:rFonts w:ascii="Arial" w:hAnsi="Arial"/>
          <w:sz w:val="20"/>
          <w:szCs w:val="20"/>
        </w:rPr>
        <w:t xml:space="preserve"> </w:t>
      </w:r>
      <w:r w:rsidR="004361BB" w:rsidRPr="004361BB">
        <w:rPr>
          <w:rFonts w:ascii="Arial" w:hAnsi="Arial"/>
          <w:sz w:val="20"/>
          <w:szCs w:val="20"/>
        </w:rPr>
        <w:t>[</w:t>
      </w:r>
      <w:proofErr w:type="spellStart"/>
      <w:r w:rsidR="004361BB" w:rsidRPr="004361BB">
        <w:rPr>
          <w:rFonts w:ascii="Arial" w:hAnsi="Arial"/>
          <w:sz w:val="20"/>
          <w:szCs w:val="20"/>
        </w:rPr>
        <w:t>dd</w:t>
      </w:r>
      <w:proofErr w:type="spellEnd"/>
      <w:r w:rsidR="004361BB" w:rsidRPr="004361BB">
        <w:rPr>
          <w:rFonts w:ascii="Arial" w:hAnsi="Arial"/>
          <w:sz w:val="20"/>
          <w:szCs w:val="20"/>
        </w:rPr>
        <w:t>/mm/</w:t>
      </w:r>
      <w:proofErr w:type="spellStart"/>
      <w:r w:rsidR="004361BB" w:rsidRPr="004361BB">
        <w:rPr>
          <w:rFonts w:ascii="Arial" w:hAnsi="Arial"/>
          <w:sz w:val="20"/>
          <w:szCs w:val="20"/>
        </w:rPr>
        <w:t>åååå</w:t>
      </w:r>
      <w:proofErr w:type="spellEnd"/>
      <w:r w:rsidR="004361BB" w:rsidRPr="004361BB">
        <w:rPr>
          <w:rFonts w:ascii="Arial" w:hAnsi="Arial"/>
          <w:sz w:val="20"/>
          <w:szCs w:val="20"/>
        </w:rPr>
        <w:t>]</w:t>
      </w:r>
    </w:p>
    <w:p w:rsidR="007212DB" w:rsidRPr="007212DB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56" w:rsidRDefault="003E4556">
      <w:pPr>
        <w:spacing w:before="0" w:after="0" w:line="240" w:lineRule="auto"/>
      </w:pPr>
      <w:r>
        <w:separator/>
      </w:r>
    </w:p>
  </w:endnote>
  <w:endnote w:type="continuationSeparator" w:id="0">
    <w:p w:rsidR="003E4556" w:rsidRDefault="003E45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F7" w:rsidRDefault="00F33C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570348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F33CF7">
      <w:rPr>
        <w:sz w:val="14"/>
      </w:rPr>
      <w:t>ssm.202004_template_for_management_letter.da.docx</w:t>
    </w:r>
    <w:r w:rsidRPr="00264109">
      <w:rPr>
        <w:sz w:val="14"/>
      </w:rPr>
      <w:fldChar w:fldCharType="end"/>
    </w:r>
    <w:r>
      <w:rPr>
        <w:sz w:val="14"/>
      </w:rPr>
      <w:tab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F33CF7">
      <w:t>1</w:t>
    </w:r>
    <w:r>
      <w:fldChar w:fldCharType="end"/>
    </w:r>
  </w:p>
  <w:p w:rsidR="00570348" w:rsidRDefault="00570348" w:rsidP="00143A07">
    <w:pPr>
      <w:pStyle w:val="Footer"/>
      <w:jc w:val="both"/>
    </w:pPr>
    <w:r>
      <w:tab/>
      <w:t xml:space="preserve">Sidst trykt: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F33CF7">
      <w:rPr>
        <w:sz w:val="12"/>
        <w:szCs w:val="12"/>
      </w:rPr>
      <w:t>04-12-2019 11:22:00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  <w:t xml:space="preserve">Side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F33CF7">
      <w:rPr>
        <w:szCs w:val="17"/>
      </w:rPr>
      <w:t>1</w:t>
    </w:r>
    <w:r w:rsidRPr="00D445EB">
      <w:rPr>
        <w:szCs w:val="17"/>
      </w:rPr>
      <w:fldChar w:fldCharType="end"/>
    </w:r>
    <w:r>
      <w:t xml:space="preserve"> af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F33CF7">
      <w:rPr>
        <w:szCs w:val="17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  <w:t xml:space="preserve">Side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F33CF7">
      <w:rPr>
        <w:szCs w:val="17"/>
      </w:rPr>
      <w:t>2</w:t>
    </w:r>
    <w:r w:rsidRPr="00D445EB">
      <w:rPr>
        <w:szCs w:val="17"/>
      </w:rPr>
      <w:fldChar w:fldCharType="end"/>
    </w:r>
    <w:r>
      <w:t xml:space="preserve"> af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F33CF7">
      <w:rPr>
        <w:szCs w:val="17"/>
      </w:rPr>
      <w:t>3</w:t>
    </w:r>
    <w:r w:rsidRPr="00D445EB">
      <w:rPr>
        <w:szCs w:val="17"/>
      </w:rPr>
      <w:fldChar w:fldCharType="end"/>
    </w:r>
  </w:p>
  <w:p w:rsidR="00570348" w:rsidRDefault="00570348" w:rsidP="00E46E94">
    <w:pPr>
      <w:pStyle w:val="Footer"/>
      <w:jc w:val="both"/>
    </w:pPr>
  </w:p>
  <w:p w:rsidR="00570348" w:rsidRDefault="00570348" w:rsidP="00FB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56" w:rsidRDefault="003E4556">
      <w:pPr>
        <w:spacing w:before="0" w:after="0" w:line="240" w:lineRule="auto"/>
      </w:pPr>
      <w:r>
        <w:separator/>
      </w:r>
    </w:p>
  </w:footnote>
  <w:footnote w:type="continuationSeparator" w:id="0">
    <w:p w:rsidR="003E4556" w:rsidRDefault="003E4556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61142">
        <w:tab/>
      </w:r>
      <w:r w:rsidRPr="00C55965">
        <w:rPr>
          <w:rFonts w:asciiTheme="minorHAnsi" w:hAnsiTheme="minorHAnsi"/>
          <w:sz w:val="17"/>
          <w:szCs w:val="17"/>
        </w:rPr>
        <w:t>Den Europæiske Centralbanks afgørelse (EU) 2019/</w:t>
      </w:r>
      <w:r w:rsidR="004361BB">
        <w:rPr>
          <w:rFonts w:asciiTheme="minorHAnsi" w:hAnsiTheme="minorHAnsi"/>
          <w:sz w:val="17"/>
          <w:szCs w:val="17"/>
        </w:rPr>
        <w:t>2158</w:t>
      </w:r>
      <w:r w:rsidRPr="00C55965">
        <w:rPr>
          <w:rFonts w:asciiTheme="minorHAnsi" w:hAnsiTheme="minorHAnsi"/>
          <w:sz w:val="17"/>
          <w:szCs w:val="17"/>
        </w:rPr>
        <w:t xml:space="preserve"> af </w:t>
      </w:r>
      <w:r w:rsidR="004361BB">
        <w:rPr>
          <w:rFonts w:asciiTheme="minorHAnsi" w:hAnsiTheme="minorHAnsi"/>
          <w:sz w:val="17"/>
          <w:szCs w:val="17"/>
        </w:rPr>
        <w:t>5.</w:t>
      </w:r>
      <w:r w:rsidRPr="00C55965">
        <w:rPr>
          <w:rFonts w:asciiTheme="minorHAnsi" w:hAnsiTheme="minorHAnsi"/>
          <w:sz w:val="17"/>
          <w:szCs w:val="17"/>
        </w:rPr>
        <w:t xml:space="preserve"> december </w:t>
      </w:r>
      <w:r w:rsidR="00773461" w:rsidRPr="00C55965">
        <w:rPr>
          <w:rFonts w:asciiTheme="minorHAnsi" w:hAnsiTheme="minorHAnsi"/>
          <w:sz w:val="17"/>
          <w:szCs w:val="17"/>
        </w:rPr>
        <w:t xml:space="preserve">2019 </w:t>
      </w:r>
      <w:r w:rsidRPr="00C55965">
        <w:rPr>
          <w:rFonts w:asciiTheme="minorHAnsi" w:hAnsiTheme="minorHAnsi"/>
          <w:sz w:val="17"/>
          <w:szCs w:val="17"/>
        </w:rPr>
        <w:t>om metoden til og procedurerne for fastsættelse og indsamling af data om de gebyrfaktorer, der anvendes til beregning af de å</w:t>
      </w:r>
      <w:r w:rsidR="00773461" w:rsidRPr="00C55965">
        <w:rPr>
          <w:rFonts w:asciiTheme="minorHAnsi" w:hAnsiTheme="minorHAnsi"/>
          <w:sz w:val="17"/>
          <w:szCs w:val="17"/>
        </w:rPr>
        <w:t>rlige tilsynsgebyrer (ECB/2019/</w:t>
      </w:r>
      <w:r w:rsidR="004361BB">
        <w:rPr>
          <w:rFonts w:asciiTheme="minorHAnsi" w:hAnsiTheme="minorHAnsi"/>
          <w:sz w:val="17"/>
          <w:szCs w:val="17"/>
        </w:rPr>
        <w:t>38</w:t>
      </w:r>
      <w:r w:rsidR="00773461" w:rsidRPr="00C55965">
        <w:rPr>
          <w:rFonts w:asciiTheme="minorHAnsi" w:hAnsiTheme="minorHAnsi"/>
          <w:sz w:val="17"/>
          <w:szCs w:val="17"/>
        </w:rPr>
        <w:t>) (</w:t>
      </w:r>
      <w:r w:rsidR="004361BB">
        <w:rPr>
          <w:rFonts w:asciiTheme="minorHAnsi" w:hAnsiTheme="minorHAnsi"/>
          <w:sz w:val="17"/>
          <w:szCs w:val="17"/>
        </w:rPr>
        <w:t>EUT L 327 af 17.12.2019, s. 99</w:t>
      </w:r>
      <w:r w:rsidRPr="00C55965">
        <w:rPr>
          <w:rFonts w:asciiTheme="minorHAnsi" w:hAnsiTheme="minorHAnsi"/>
          <w:sz w:val="17"/>
          <w:szCs w:val="17"/>
        </w:rPr>
        <w:t>).</w:t>
      </w:r>
    </w:p>
  </w:footnote>
  <w:footnote w:id="2">
    <w:p w:rsidR="00BD6005" w:rsidRDefault="00BD6005" w:rsidP="00074997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55965">
        <w:rPr>
          <w:sz w:val="17"/>
          <w:szCs w:val="17"/>
        </w:rPr>
        <w:t>Dato for fremsendelse af de endelige finansielle oplysninger til den kompetente nationale myndighed, herunder den samlede værdi af aktiver, som skal anvendes til beregning af ECB's tilsynsgebyr</w:t>
      </w:r>
      <w:r w:rsidR="00773461" w:rsidRPr="00C55965">
        <w:rPr>
          <w:sz w:val="17"/>
          <w:szCs w:val="17"/>
        </w:rPr>
        <w:t>.</w:t>
      </w:r>
    </w:p>
  </w:footnote>
  <w:footnote w:id="3">
    <w:p w:rsidR="008F68C8" w:rsidRPr="006F6A85" w:rsidRDefault="008F68C8" w:rsidP="006F6A85">
      <w:pPr>
        <w:pStyle w:val="FootnoteText"/>
        <w:rPr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="00F61142">
        <w:tab/>
      </w:r>
      <w:r w:rsidRPr="00C55965">
        <w:rPr>
          <w:sz w:val="17"/>
          <w:szCs w:val="17"/>
        </w:rPr>
        <w:t>Den Europæiske Centralbanks afgørelse (EU) 2019/</w:t>
      </w:r>
      <w:r w:rsidR="004361BB">
        <w:rPr>
          <w:sz w:val="17"/>
          <w:szCs w:val="17"/>
        </w:rPr>
        <w:t>2158</w:t>
      </w:r>
      <w:r w:rsidRPr="00C55965">
        <w:rPr>
          <w:sz w:val="17"/>
          <w:szCs w:val="17"/>
        </w:rPr>
        <w:t xml:space="preserve"> af</w:t>
      </w:r>
      <w:r w:rsidR="004361BB">
        <w:rPr>
          <w:sz w:val="17"/>
          <w:szCs w:val="17"/>
        </w:rPr>
        <w:t xml:space="preserve"> 5.</w:t>
      </w:r>
      <w:r w:rsidRPr="00C55965">
        <w:rPr>
          <w:sz w:val="17"/>
          <w:szCs w:val="17"/>
        </w:rPr>
        <w:t xml:space="preserve"> december 2019 om metoden til og procedurerne for fastsættelse og indsamling af data om de gebyrfaktorer, der anvendes til beregning af de årlige</w:t>
      </w:r>
      <w:r w:rsidR="00773461" w:rsidRPr="00C55965">
        <w:rPr>
          <w:sz w:val="17"/>
          <w:szCs w:val="17"/>
        </w:rPr>
        <w:t xml:space="preserve"> tilsynsgebyrer (ECB/2019/</w:t>
      </w:r>
      <w:r w:rsidR="004361BB">
        <w:rPr>
          <w:sz w:val="17"/>
          <w:szCs w:val="17"/>
        </w:rPr>
        <w:t>38</w:t>
      </w:r>
      <w:r w:rsidR="00773461" w:rsidRPr="00C55965">
        <w:rPr>
          <w:sz w:val="17"/>
          <w:szCs w:val="17"/>
        </w:rPr>
        <w:t>) (e</w:t>
      </w:r>
      <w:r w:rsidRPr="00C55965">
        <w:rPr>
          <w:sz w:val="17"/>
          <w:szCs w:val="17"/>
        </w:rPr>
        <w:t>ndnu ikke offentliggjort i EU-Tidende)</w:t>
      </w:r>
      <w:r w:rsidR="004361BB" w:rsidRPr="004361BB">
        <w:rPr>
          <w:sz w:val="17"/>
          <w:szCs w:val="17"/>
        </w:rPr>
        <w:t xml:space="preserve"> (EUT L 327 af 17.12.2019, s. 99).</w:t>
      </w:r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61142">
        <w:tab/>
      </w:r>
      <w:r w:rsidRPr="00C55965">
        <w:rPr>
          <w:sz w:val="17"/>
          <w:szCs w:val="17"/>
        </w:rPr>
        <w:t>Den Europæiske Centralbanks forordning (EU) nr. 1163/2014 af 22. oktober 2014 om tilsynsgebyrer (ECB/2014/41) (EUT L 311, 31.10.2014, s. 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F7" w:rsidRDefault="00F33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6F6A85" w:rsidRDefault="00570348" w:rsidP="006F6A85">
    <w:pPr>
      <w:pStyle w:val="Header"/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D532ED" w:rsidP="003F5C2C">
    <w:pPr>
      <w:pStyle w:val="Header"/>
    </w:pPr>
    <w:r>
      <w:rPr>
        <w:noProof/>
        <w:lang w:val="en-GB"/>
      </w:rPr>
      <w:drawing>
        <wp:inline distT="0" distB="0" distL="0" distR="0">
          <wp:extent cx="2473036" cy="887352"/>
          <wp:effectExtent l="0" t="0" r="3810" b="8255"/>
          <wp:docPr id="3" name="Picture 3" descr="\\gimecb01\Data\ECB business areas\DGC\TLT\01_Studio jobs\1 MTE\- RESOURCES\SSM logos\ECB_BS_DA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imecb01\Data\ECB business areas\DGC\TLT\01_Studio jobs\1 MTE\- RESOURCES\SSM logos\ECB_BS_DA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716" cy="88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10310"/>
    <w:rsid w:val="00010A4E"/>
    <w:rsid w:val="00027E77"/>
    <w:rsid w:val="00044B75"/>
    <w:rsid w:val="00047929"/>
    <w:rsid w:val="00052081"/>
    <w:rsid w:val="00062E2A"/>
    <w:rsid w:val="00070969"/>
    <w:rsid w:val="00071495"/>
    <w:rsid w:val="00074997"/>
    <w:rsid w:val="00086CEA"/>
    <w:rsid w:val="00090E1C"/>
    <w:rsid w:val="000A16E1"/>
    <w:rsid w:val="000C60DC"/>
    <w:rsid w:val="000D530E"/>
    <w:rsid w:val="000D6DF8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501B2"/>
    <w:rsid w:val="00185851"/>
    <w:rsid w:val="001A29C8"/>
    <w:rsid w:val="001C47C6"/>
    <w:rsid w:val="001E279E"/>
    <w:rsid w:val="001F3701"/>
    <w:rsid w:val="00201470"/>
    <w:rsid w:val="00231031"/>
    <w:rsid w:val="002323F4"/>
    <w:rsid w:val="002461FA"/>
    <w:rsid w:val="002776C8"/>
    <w:rsid w:val="002845A5"/>
    <w:rsid w:val="002B76C9"/>
    <w:rsid w:val="002C09D7"/>
    <w:rsid w:val="002C1156"/>
    <w:rsid w:val="002D37C3"/>
    <w:rsid w:val="002F18BE"/>
    <w:rsid w:val="002F2D9A"/>
    <w:rsid w:val="002F4143"/>
    <w:rsid w:val="003155D3"/>
    <w:rsid w:val="00327D10"/>
    <w:rsid w:val="003303C9"/>
    <w:rsid w:val="00371129"/>
    <w:rsid w:val="003730DD"/>
    <w:rsid w:val="0037402E"/>
    <w:rsid w:val="00374A66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E0206"/>
    <w:rsid w:val="003E0659"/>
    <w:rsid w:val="003E4556"/>
    <w:rsid w:val="003F2EF7"/>
    <w:rsid w:val="003F40C0"/>
    <w:rsid w:val="003F5C2C"/>
    <w:rsid w:val="004022D8"/>
    <w:rsid w:val="004054E0"/>
    <w:rsid w:val="00431846"/>
    <w:rsid w:val="004361BB"/>
    <w:rsid w:val="0044592B"/>
    <w:rsid w:val="00454953"/>
    <w:rsid w:val="0046108E"/>
    <w:rsid w:val="00464590"/>
    <w:rsid w:val="00470EA3"/>
    <w:rsid w:val="004744D6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95255"/>
    <w:rsid w:val="005A7C25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5065"/>
    <w:rsid w:val="006374EC"/>
    <w:rsid w:val="00657023"/>
    <w:rsid w:val="0066782B"/>
    <w:rsid w:val="00682937"/>
    <w:rsid w:val="00694C66"/>
    <w:rsid w:val="006B5EF0"/>
    <w:rsid w:val="006B6013"/>
    <w:rsid w:val="006B7E5C"/>
    <w:rsid w:val="006D0D38"/>
    <w:rsid w:val="006E265F"/>
    <w:rsid w:val="006E4069"/>
    <w:rsid w:val="006E7885"/>
    <w:rsid w:val="006F07E2"/>
    <w:rsid w:val="006F35A7"/>
    <w:rsid w:val="006F6A85"/>
    <w:rsid w:val="007142B2"/>
    <w:rsid w:val="007158F7"/>
    <w:rsid w:val="00717CB1"/>
    <w:rsid w:val="007212DB"/>
    <w:rsid w:val="007311AB"/>
    <w:rsid w:val="0073497B"/>
    <w:rsid w:val="00756A9E"/>
    <w:rsid w:val="0077153A"/>
    <w:rsid w:val="00773461"/>
    <w:rsid w:val="007864B5"/>
    <w:rsid w:val="00794102"/>
    <w:rsid w:val="00795C7B"/>
    <w:rsid w:val="007A046E"/>
    <w:rsid w:val="007A5F67"/>
    <w:rsid w:val="007A718D"/>
    <w:rsid w:val="007B2CA5"/>
    <w:rsid w:val="007B2D62"/>
    <w:rsid w:val="007B6D49"/>
    <w:rsid w:val="007D4453"/>
    <w:rsid w:val="007F3FFB"/>
    <w:rsid w:val="007F4A1D"/>
    <w:rsid w:val="00802B1E"/>
    <w:rsid w:val="0080475E"/>
    <w:rsid w:val="0082459E"/>
    <w:rsid w:val="008258AF"/>
    <w:rsid w:val="008270ED"/>
    <w:rsid w:val="008303C6"/>
    <w:rsid w:val="008443AA"/>
    <w:rsid w:val="00845158"/>
    <w:rsid w:val="00847BA6"/>
    <w:rsid w:val="008658B0"/>
    <w:rsid w:val="008659CF"/>
    <w:rsid w:val="00870A94"/>
    <w:rsid w:val="008A07CE"/>
    <w:rsid w:val="008B29E1"/>
    <w:rsid w:val="008C45CB"/>
    <w:rsid w:val="008D2EC7"/>
    <w:rsid w:val="008E51E8"/>
    <w:rsid w:val="008E600A"/>
    <w:rsid w:val="008E6A8A"/>
    <w:rsid w:val="008E70A3"/>
    <w:rsid w:val="008F68C8"/>
    <w:rsid w:val="00911ED5"/>
    <w:rsid w:val="009308D0"/>
    <w:rsid w:val="00941CA3"/>
    <w:rsid w:val="00956863"/>
    <w:rsid w:val="009A3258"/>
    <w:rsid w:val="009A5777"/>
    <w:rsid w:val="009B3B5E"/>
    <w:rsid w:val="009C6F9F"/>
    <w:rsid w:val="009D2CA3"/>
    <w:rsid w:val="00A126CE"/>
    <w:rsid w:val="00A12CA3"/>
    <w:rsid w:val="00A23AC4"/>
    <w:rsid w:val="00A31889"/>
    <w:rsid w:val="00A34601"/>
    <w:rsid w:val="00A67A86"/>
    <w:rsid w:val="00A85B7B"/>
    <w:rsid w:val="00A972A5"/>
    <w:rsid w:val="00AB48FA"/>
    <w:rsid w:val="00AC4F75"/>
    <w:rsid w:val="00AF0B4A"/>
    <w:rsid w:val="00AF14DA"/>
    <w:rsid w:val="00AF7FAC"/>
    <w:rsid w:val="00B02CEF"/>
    <w:rsid w:val="00B05455"/>
    <w:rsid w:val="00B15D9B"/>
    <w:rsid w:val="00B243A7"/>
    <w:rsid w:val="00B24618"/>
    <w:rsid w:val="00B25CB1"/>
    <w:rsid w:val="00B26D46"/>
    <w:rsid w:val="00B34895"/>
    <w:rsid w:val="00B521B0"/>
    <w:rsid w:val="00B55624"/>
    <w:rsid w:val="00B61E1A"/>
    <w:rsid w:val="00B638EF"/>
    <w:rsid w:val="00B9043D"/>
    <w:rsid w:val="00B92D15"/>
    <w:rsid w:val="00BB0B39"/>
    <w:rsid w:val="00BC51C1"/>
    <w:rsid w:val="00BD20B1"/>
    <w:rsid w:val="00BD6005"/>
    <w:rsid w:val="00BF4EF3"/>
    <w:rsid w:val="00C2726F"/>
    <w:rsid w:val="00C4544E"/>
    <w:rsid w:val="00C55965"/>
    <w:rsid w:val="00C70264"/>
    <w:rsid w:val="00C83B5F"/>
    <w:rsid w:val="00C90EE0"/>
    <w:rsid w:val="00C9780F"/>
    <w:rsid w:val="00CA13FC"/>
    <w:rsid w:val="00CA75C5"/>
    <w:rsid w:val="00CB64C7"/>
    <w:rsid w:val="00CC6BF3"/>
    <w:rsid w:val="00CC7FEC"/>
    <w:rsid w:val="00CD3012"/>
    <w:rsid w:val="00CE072E"/>
    <w:rsid w:val="00CE494B"/>
    <w:rsid w:val="00D23AA9"/>
    <w:rsid w:val="00D24356"/>
    <w:rsid w:val="00D2531F"/>
    <w:rsid w:val="00D41F7C"/>
    <w:rsid w:val="00D42EE5"/>
    <w:rsid w:val="00D445EB"/>
    <w:rsid w:val="00D532ED"/>
    <w:rsid w:val="00D54FA5"/>
    <w:rsid w:val="00D55477"/>
    <w:rsid w:val="00D57460"/>
    <w:rsid w:val="00DA2410"/>
    <w:rsid w:val="00DB0B4F"/>
    <w:rsid w:val="00DB0F6C"/>
    <w:rsid w:val="00DC2BB6"/>
    <w:rsid w:val="00DD5341"/>
    <w:rsid w:val="00DD7016"/>
    <w:rsid w:val="00DE2126"/>
    <w:rsid w:val="00DE3EF6"/>
    <w:rsid w:val="00DF0B06"/>
    <w:rsid w:val="00DF7BEE"/>
    <w:rsid w:val="00E0458B"/>
    <w:rsid w:val="00E234AA"/>
    <w:rsid w:val="00E27BC5"/>
    <w:rsid w:val="00E32143"/>
    <w:rsid w:val="00E3435A"/>
    <w:rsid w:val="00E366DE"/>
    <w:rsid w:val="00E464AD"/>
    <w:rsid w:val="00E46E94"/>
    <w:rsid w:val="00E539EA"/>
    <w:rsid w:val="00E54D6D"/>
    <w:rsid w:val="00E55D21"/>
    <w:rsid w:val="00E6106B"/>
    <w:rsid w:val="00E67544"/>
    <w:rsid w:val="00E813A6"/>
    <w:rsid w:val="00E93210"/>
    <w:rsid w:val="00E966D8"/>
    <w:rsid w:val="00EA183E"/>
    <w:rsid w:val="00EA7336"/>
    <w:rsid w:val="00EC1971"/>
    <w:rsid w:val="00EC6489"/>
    <w:rsid w:val="00EC6CF5"/>
    <w:rsid w:val="00F0106A"/>
    <w:rsid w:val="00F05DB2"/>
    <w:rsid w:val="00F33CF7"/>
    <w:rsid w:val="00F41923"/>
    <w:rsid w:val="00F41AC4"/>
    <w:rsid w:val="00F44734"/>
    <w:rsid w:val="00F61142"/>
    <w:rsid w:val="00F64296"/>
    <w:rsid w:val="00F754E9"/>
    <w:rsid w:val="00F75813"/>
    <w:rsid w:val="00F84952"/>
    <w:rsid w:val="00F872CC"/>
    <w:rsid w:val="00F90798"/>
    <w:rsid w:val="00FA1511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9B3B5E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9B3B5E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%20Users\ECB%20Templates\Generic%20SS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9664-2626-4763-820C-338E4A56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SSM.dot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2020-05-04T09:52:00Z</dcterms:created>
  <dcterms:modified xsi:type="dcterms:W3CDTF">2020-05-04T09:52:00Z</dcterms:modified>
</cp:coreProperties>
</file>