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Образец на писмо от ръководството</w:t>
      </w:r>
    </w:p>
    <w:p w:rsidR="00512A63" w:rsidRDefault="00E464AD" w:rsidP="0038667F">
      <w:pPr>
        <w:pStyle w:val="ECBBodyText"/>
        <w:jc w:val="both"/>
      </w:pPr>
      <w:r>
        <w:t>С</w:t>
      </w:r>
      <w:r w:rsidR="002B7470">
        <w:t>ъгласно</w:t>
      </w:r>
      <w:r>
        <w:t xml:space="preserve"> член 3, параграф 1, буква б) и член 3, параграф 3 от Решение (ЕС) 2019</w:t>
      </w:r>
      <w:r w:rsidR="00E106A6">
        <w:t>/2158</w:t>
      </w:r>
      <w:r>
        <w:t xml:space="preserve"> на Европейската централна банка (ЕЦБ/2019/</w:t>
      </w:r>
      <w:r w:rsidR="007D1373" w:rsidRPr="00E106A6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от ръководството на клонове</w:t>
      </w:r>
      <w:r w:rsidR="002B7470">
        <w:t>те,</w:t>
      </w:r>
      <w:r>
        <w:t xml:space="preserve"> </w:t>
      </w:r>
      <w:r w:rsidR="002B7470">
        <w:t xml:space="preserve">заплащащи такса, </w:t>
      </w:r>
      <w:r>
        <w:t xml:space="preserve">се изисква да удостовери общата стойност на техните активи, като изпрати писмо от ръководството до съответния национален компетентен орган (НКО). Приложеният документ е образец </w:t>
      </w:r>
      <w:r w:rsidR="002B7470">
        <w:t xml:space="preserve">на </w:t>
      </w:r>
      <w:r>
        <w:t>п</w:t>
      </w:r>
      <w:r w:rsidR="000C32DF">
        <w:t>осоченото писмо</w:t>
      </w:r>
      <w:r>
        <w:t xml:space="preserve">, който </w:t>
      </w:r>
      <w:r w:rsidR="002B7470">
        <w:t xml:space="preserve">трябва </w:t>
      </w:r>
      <w:r>
        <w:t>да се използва от всички клонове</w:t>
      </w:r>
      <w:r w:rsidR="002B7470">
        <w:t>,</w:t>
      </w:r>
      <w:r w:rsidR="002B7470" w:rsidRPr="002B7470">
        <w:t xml:space="preserve"> </w:t>
      </w:r>
      <w:r w:rsidR="002B7470">
        <w:t>заплащащи такса</w:t>
      </w:r>
      <w:r>
        <w:t xml:space="preserve">.  </w:t>
      </w:r>
    </w:p>
    <w:p w:rsidR="00512A63" w:rsidRDefault="00512A63" w:rsidP="0038667F">
      <w:pPr>
        <w:pStyle w:val="ECBBodyText"/>
        <w:jc w:val="both"/>
      </w:pPr>
      <w:r>
        <w:t>Писмото от ръководството трябва да бъде надлежно подписано от управителя на клон</w:t>
      </w:r>
      <w:r w:rsidR="004923DE">
        <w:t>а, заплащащ такса,</w:t>
      </w:r>
      <w:r>
        <w:t xml:space="preserve"> или, </w:t>
      </w:r>
      <w:r w:rsidR="004923DE">
        <w:t>ако той не може</w:t>
      </w:r>
      <w:r>
        <w:t xml:space="preserve">, от представител на ръководния орган на кредитната институция, </w:t>
      </w:r>
      <w:r w:rsidR="004923DE">
        <w:t xml:space="preserve">учредила </w:t>
      </w:r>
      <w:r>
        <w:t>клон</w:t>
      </w:r>
      <w:r w:rsidR="004923DE">
        <w:t>а</w:t>
      </w:r>
      <w:r>
        <w:t xml:space="preserve">. Определението за „ръководен орган“ се съдържа в </w:t>
      </w:r>
      <w:r w:rsidR="00C13A9F">
        <w:t>член 2 от Решение (ЕС) 2019/2158</w:t>
      </w:r>
      <w:r>
        <w:t xml:space="preserve"> (ЕЦБ/2019/</w:t>
      </w:r>
      <w:r w:rsidR="00002055" w:rsidRPr="00C13A9F">
        <w:t>38</w:t>
      </w:r>
      <w:r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>Следва да с</w:t>
      </w:r>
      <w:r w:rsidR="00A77946">
        <w:t>е отбележи, че отделни НКО може</w:t>
      </w:r>
      <w:r>
        <w:t xml:space="preserve"> да решат да </w:t>
      </w:r>
      <w:r w:rsidR="008B03E5">
        <w:t xml:space="preserve">изменят </w:t>
      </w:r>
      <w:r>
        <w:t>образеца на писмото от ръководството заради конкретни особености в своята държава. Ако случаят е такъв, НКО следва да информират ЕЦБ.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Pr="00941301" w:rsidRDefault="00070969" w:rsidP="00CF2488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CF2488" w:rsidRPr="00941301" w:rsidRDefault="00CF2488" w:rsidP="00CF2488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Образец на писмо от ръководството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Pr="00CE19E3" w:rsidRDefault="000C32DF" w:rsidP="00512A63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lastRenderedPageBreak/>
        <w:t>[</w:t>
      </w:r>
      <w:r w:rsidR="00C13A9F">
        <w:rPr>
          <w:rFonts w:ascii="Arial" w:hAnsi="Arial"/>
          <w:sz w:val="20"/>
          <w:szCs w:val="20"/>
        </w:rPr>
        <w:t>Наименование</w:t>
      </w:r>
      <w:r w:rsidR="004D487B">
        <w:rPr>
          <w:rFonts w:ascii="Arial" w:hAnsi="Arial"/>
          <w:sz w:val="20"/>
          <w:szCs w:val="20"/>
        </w:rPr>
        <w:t xml:space="preserve"> на клон</w:t>
      </w:r>
      <w:r w:rsidR="00C67D80">
        <w:rPr>
          <w:rFonts w:ascii="Arial" w:hAnsi="Arial"/>
          <w:sz w:val="20"/>
          <w:szCs w:val="20"/>
        </w:rPr>
        <w:t>а, заплащащ такса</w:t>
      </w:r>
      <w:r w:rsidRPr="00CE19E3">
        <w:rPr>
          <w:rFonts w:ascii="Arial" w:hAnsi="Arial"/>
          <w:sz w:val="20"/>
          <w:szCs w:val="20"/>
        </w:rPr>
        <w:t>]</w:t>
      </w:r>
    </w:p>
    <w:p w:rsidR="004D487B" w:rsidRPr="00CE19E3" w:rsidRDefault="000C32DF" w:rsidP="00512A63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Име на лицето за контакт</w:t>
      </w:r>
      <w:r w:rsidRPr="00CE19E3">
        <w:rPr>
          <w:rFonts w:ascii="Arial" w:hAnsi="Arial"/>
          <w:sz w:val="20"/>
          <w:szCs w:val="20"/>
        </w:rPr>
        <w:t>]</w:t>
      </w:r>
    </w:p>
    <w:p w:rsidR="004D487B" w:rsidRPr="00570348" w:rsidRDefault="000C32DF" w:rsidP="004D487B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Отдел</w:t>
      </w:r>
      <w:r w:rsidRPr="00CE19E3"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0C32DF" w:rsidP="004D487B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Адрес и имейл адрес</w:t>
      </w:r>
      <w:r w:rsidRPr="00CE19E3"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0C32DF" w:rsidP="004D487B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lastRenderedPageBreak/>
        <w:t>[</w:t>
      </w:r>
      <w:r w:rsidR="00BD3FB4">
        <w:rPr>
          <w:rFonts w:ascii="Arial" w:hAnsi="Arial"/>
          <w:sz w:val="20"/>
          <w:szCs w:val="20"/>
        </w:rPr>
        <w:t>Наименование</w:t>
      </w:r>
      <w:r w:rsidR="004D487B">
        <w:rPr>
          <w:rFonts w:ascii="Arial" w:hAnsi="Arial"/>
          <w:sz w:val="20"/>
          <w:szCs w:val="20"/>
        </w:rPr>
        <w:t xml:space="preserve"> на наци</w:t>
      </w:r>
      <w:r w:rsidR="00BD3FB4">
        <w:rPr>
          <w:rFonts w:ascii="Arial" w:hAnsi="Arial"/>
          <w:sz w:val="20"/>
          <w:szCs w:val="20"/>
        </w:rPr>
        <w:t>оналния компетентен орган (НКО)</w:t>
      </w:r>
      <w:r w:rsidRPr="00CE19E3"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0C32DF" w:rsidP="00512A63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Име на лицето за контакт</w:t>
      </w:r>
      <w:r w:rsidRPr="00CE19E3"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0C32DF" w:rsidP="00512A63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Отдел</w:t>
      </w:r>
      <w:r w:rsidRPr="00CE19E3"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0C32DF" w:rsidP="00512A63">
      <w:pPr>
        <w:pStyle w:val="Default"/>
        <w:rPr>
          <w:rFonts w:ascii="Arial" w:hAnsi="Arial" w:cs="Arial"/>
          <w:sz w:val="20"/>
          <w:szCs w:val="20"/>
        </w:rPr>
      </w:pPr>
      <w:r w:rsidRPr="00CE19E3">
        <w:rPr>
          <w:rFonts w:ascii="Arial" w:hAnsi="Arial"/>
          <w:sz w:val="20"/>
          <w:szCs w:val="20"/>
        </w:rPr>
        <w:t>[</w:t>
      </w:r>
      <w:r w:rsidR="00BD3FB4">
        <w:rPr>
          <w:rFonts w:ascii="Arial" w:hAnsi="Arial"/>
          <w:sz w:val="20"/>
          <w:szCs w:val="20"/>
        </w:rPr>
        <w:t>Адрес и имейл адрес</w:t>
      </w:r>
      <w:r w:rsidRPr="00CE19E3"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Писмо от ръководството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Относно: </w:t>
      </w:r>
      <w:r>
        <w:rPr>
          <w:b/>
          <w:bCs/>
          <w:szCs w:val="20"/>
        </w:rPr>
        <w:t xml:space="preserve">Информация за изчисляване на надзорната такса на ЕЦБ за </w:t>
      </w:r>
      <w:r w:rsidRPr="00BD3FB4">
        <w:rPr>
          <w:b/>
          <w:bCs/>
          <w:szCs w:val="20"/>
        </w:rPr>
        <w:t>[ГГГГ]</w:t>
      </w:r>
      <w:r>
        <w:rPr>
          <w:b/>
          <w:bCs/>
          <w:szCs w:val="20"/>
        </w:rPr>
        <w:t> 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C67D80" w:rsidP="00C67D8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0D530E">
              <w:rPr>
                <w:sz w:val="18"/>
                <w:szCs w:val="18"/>
              </w:rPr>
              <w:t>на клон</w:t>
            </w:r>
            <w:r>
              <w:rPr>
                <w:sz w:val="18"/>
                <w:szCs w:val="18"/>
              </w:rPr>
              <w:t>а, заплащащ</w:t>
            </w:r>
            <w:r w:rsidR="00F02A2D">
              <w:rPr>
                <w:sz w:val="18"/>
                <w:szCs w:val="18"/>
              </w:rPr>
              <w:t xml:space="preserve"> такса</w:t>
            </w:r>
            <w:r w:rsidR="000D530E">
              <w:rPr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C67D8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C67D80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C67D80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Код </w:t>
            </w:r>
            <w:r w:rsidR="000D530E">
              <w:rPr>
                <w:rFonts w:ascii="Arial" w:hAnsi="Arial"/>
                <w:sz w:val="18"/>
                <w:szCs w:val="18"/>
              </w:rPr>
              <w:t xml:space="preserve">на парично-финансовата институция (ПФИ):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C67D80" w:rsidP="00C67D8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Към п</w:t>
            </w:r>
            <w:r w:rsidR="00B05455">
              <w:rPr>
                <w:sz w:val="18"/>
                <w:szCs w:val="18"/>
              </w:rPr>
              <w:t xml:space="preserve">исмото от ръководството </w:t>
            </w:r>
            <w:r>
              <w:rPr>
                <w:sz w:val="18"/>
                <w:szCs w:val="18"/>
              </w:rPr>
              <w:t>се прилага</w:t>
            </w:r>
            <w:r w:rsidR="00B05455">
              <w:rPr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[Изберете само един вариант]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Вариант 1: информация, </w:t>
            </w:r>
            <w:r w:rsidR="009401D1">
              <w:rPr>
                <w:sz w:val="18"/>
                <w:szCs w:val="18"/>
              </w:rPr>
              <w:t>отчет</w:t>
            </w:r>
            <w:r w:rsidR="00002055">
              <w:rPr>
                <w:sz w:val="18"/>
                <w:szCs w:val="18"/>
              </w:rPr>
              <w:t>е</w:t>
            </w:r>
            <w:r w:rsidR="009401D1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пруденциални</w:t>
            </w:r>
            <w:proofErr w:type="spellEnd"/>
            <w:r>
              <w:rPr>
                <w:sz w:val="18"/>
                <w:szCs w:val="18"/>
              </w:rPr>
              <w:t xml:space="preserve"> цели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002055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Вариант 2: информация, </w:t>
            </w:r>
            <w:r w:rsidR="009401D1">
              <w:rPr>
                <w:sz w:val="18"/>
                <w:szCs w:val="18"/>
              </w:rPr>
              <w:t xml:space="preserve">отчетена </w:t>
            </w:r>
            <w:r>
              <w:rPr>
                <w:sz w:val="18"/>
                <w:szCs w:val="18"/>
              </w:rPr>
              <w:t>в образец</w:t>
            </w:r>
            <w:r w:rsidR="0000205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за фактори</w:t>
            </w:r>
            <w:r w:rsidR="00002055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 за таксата (вж. приложение II към Решение ЕЦБ/2019/</w:t>
            </w:r>
            <w:r w:rsidR="00002055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5F320F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Дата на </w:t>
                  </w:r>
                  <w:r w:rsidR="005F320F">
                    <w:rPr>
                      <w:rFonts w:ascii="Arial" w:hAnsi="Arial"/>
                      <w:sz w:val="18"/>
                      <w:szCs w:val="18"/>
                    </w:rPr>
                    <w:t>предоставяне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на информацията, която ще се използва за изчисляване на надзорната такса: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D3FB4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B55624">
              <w:rPr>
                <w:sz w:val="18"/>
                <w:szCs w:val="18"/>
              </w:rPr>
              <w:t>дд</w:t>
            </w:r>
            <w:proofErr w:type="spellEnd"/>
            <w:r w:rsidR="00B55624">
              <w:rPr>
                <w:sz w:val="18"/>
                <w:szCs w:val="18"/>
              </w:rPr>
              <w:t>/мм/</w:t>
            </w:r>
            <w:proofErr w:type="spellStart"/>
            <w:r w:rsidR="00B55624">
              <w:rPr>
                <w:sz w:val="18"/>
                <w:szCs w:val="18"/>
              </w:rPr>
              <w:t>гггг</w:t>
            </w:r>
            <w:proofErr w:type="spellEnd"/>
            <w:r w:rsidR="00B55624"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Дата на изпращане на писмото от ръководството до НКО:</w:t>
            </w:r>
          </w:p>
        </w:tc>
        <w:tc>
          <w:tcPr>
            <w:tcW w:w="4786" w:type="dxa"/>
          </w:tcPr>
          <w:p w:rsidR="00374A66" w:rsidRPr="00074997" w:rsidRDefault="00BD3FB4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044B75">
              <w:rPr>
                <w:sz w:val="18"/>
                <w:szCs w:val="18"/>
              </w:rPr>
              <w:t>дд</w:t>
            </w:r>
            <w:proofErr w:type="spellEnd"/>
            <w:r w:rsidR="00044B75">
              <w:rPr>
                <w:sz w:val="18"/>
                <w:szCs w:val="18"/>
              </w:rPr>
              <w:t>/мм/</w:t>
            </w:r>
            <w:proofErr w:type="spellStart"/>
            <w:r w:rsidR="00044B75">
              <w:rPr>
                <w:sz w:val="18"/>
                <w:szCs w:val="18"/>
              </w:rPr>
              <w:t>гггг</w:t>
            </w:r>
            <w:proofErr w:type="spellEnd"/>
            <w:r w:rsidR="00044B75"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C67D80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Име на управителя на клон</w:t>
            </w:r>
            <w:r w:rsidR="00C67D80"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67D80">
              <w:rPr>
                <w:rFonts w:ascii="Arial" w:hAnsi="Arial"/>
                <w:sz w:val="18"/>
                <w:szCs w:val="18"/>
              </w:rPr>
              <w:t xml:space="preserve">заплащащ такса, </w:t>
            </w:r>
            <w:r>
              <w:rPr>
                <w:rFonts w:ascii="Arial" w:hAnsi="Arial"/>
                <w:sz w:val="18"/>
                <w:szCs w:val="18"/>
              </w:rPr>
              <w:t xml:space="preserve">или име на представителя на ръководния орган,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валидирал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информацията: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[Име]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Длъжност в институцията: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[Длъжност]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Pr="00CE19E3" w:rsidRDefault="00BD3FB4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CE19E3">
        <w:t>[</w:t>
      </w:r>
      <w:r w:rsidR="00074997">
        <w:t xml:space="preserve">Изберете приложимия текст от </w:t>
      </w:r>
      <w:proofErr w:type="spellStart"/>
      <w:r w:rsidR="00074997">
        <w:t>долупосочените</w:t>
      </w:r>
      <w:proofErr w:type="spellEnd"/>
      <w:r w:rsidR="00074997">
        <w:t xml:space="preserve"> текстове. При избор на Вариант 1 трябва да се използва текст А. При избор на Вариант 2 трябва да се използва текст Б.</w:t>
      </w:r>
      <w:r w:rsidRPr="00CE19E3"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Текст А</w:t>
      </w:r>
    </w:p>
    <w:p w:rsidR="000D530E" w:rsidRPr="00570348" w:rsidRDefault="000D530E" w:rsidP="00570348">
      <w:pPr>
        <w:pStyle w:val="ECBBodyText"/>
        <w:jc w:val="both"/>
      </w:pPr>
      <w:r>
        <w:t xml:space="preserve">Прегледах и одобрих окончателната версия на информацията относно стойността на общите активи, която ще се използва за изчисляването на надзорната такса на ЕЦБ и с настоящото удостоверявам, че тази информация е </w:t>
      </w:r>
      <w:r w:rsidR="005F320F">
        <w:t xml:space="preserve">съставена </w:t>
      </w:r>
      <w:r>
        <w:t xml:space="preserve">в съответствие с инструкциите, посочени в </w:t>
      </w:r>
      <w:r>
        <w:lastRenderedPageBreak/>
        <w:t>член 3, параграф 1,</w:t>
      </w:r>
      <w:r w:rsidR="00BD3FB4">
        <w:t xml:space="preserve"> буква б) от Решение (ЕС) 2019/</w:t>
      </w:r>
      <w:r w:rsidR="00BD3FB4" w:rsidRPr="00CE19E3">
        <w:t>2158</w:t>
      </w:r>
      <w:r>
        <w:t xml:space="preserve"> на Европейската централна банка (ЕЦБ/2019/</w:t>
      </w:r>
      <w:r w:rsidR="005F320F">
        <w:t>38</w:t>
      </w:r>
      <w:r>
        <w:t>)</w:t>
      </w:r>
      <w:r w:rsidR="008F68C8">
        <w:rPr>
          <w:rStyle w:val="FootnoteReference"/>
        </w:rPr>
        <w:footnoteReference w:id="3"/>
      </w:r>
      <w:r>
        <w:t>.</w:t>
      </w: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Текст Б</w:t>
      </w:r>
    </w:p>
    <w:p w:rsidR="000D530E" w:rsidRDefault="007A718D" w:rsidP="00570348">
      <w:pPr>
        <w:pStyle w:val="ECBBodyText"/>
        <w:jc w:val="both"/>
      </w:pPr>
      <w:r>
        <w:t xml:space="preserve">С настоящото удостоверявам, че са били използвани необходимите процедури и механизми за контрол, за да се гарантира, че извлечената и </w:t>
      </w:r>
      <w:r w:rsidR="005A4653">
        <w:t xml:space="preserve">отчетена </w:t>
      </w:r>
      <w:r>
        <w:t>информация е в съответствие с определенията, изложени в член 2 от Регламент (ЕС) № 1163/2014 на Европейската централна банка (ЕЦБ/2014/41)</w:t>
      </w:r>
      <w:r w:rsidR="008F68C8">
        <w:rPr>
          <w:rStyle w:val="FootnoteReference"/>
        </w:rPr>
        <w:footnoteReference w:id="4"/>
      </w:r>
      <w:r>
        <w:t xml:space="preserve"> и с всички други насоки, </w:t>
      </w:r>
      <w:r w:rsidR="005F320F">
        <w:t>предоставени съгласно</w:t>
      </w:r>
      <w:r>
        <w:t xml:space="preserve"> приложимото право. Прегледах и одобрих окончателната версия на информацията в образеца за факторите за таксата относно стойността на общите активи, която ще се използва за изчисляването на надзорната такса на ЕЦБ.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CE19E3" w:rsidRDefault="005F320F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Наименование </w:t>
      </w:r>
      <w:r w:rsidR="00570348">
        <w:rPr>
          <w:rFonts w:ascii="Arial" w:hAnsi="Arial"/>
          <w:sz w:val="20"/>
          <w:szCs w:val="20"/>
        </w:rPr>
        <w:t>на клон</w:t>
      </w:r>
      <w:r>
        <w:rPr>
          <w:rFonts w:ascii="Arial" w:hAnsi="Arial"/>
          <w:sz w:val="20"/>
          <w:szCs w:val="20"/>
        </w:rPr>
        <w:t>а, заплащащ такса</w:t>
      </w:r>
      <w:r w:rsidR="00BD3FB4" w:rsidRPr="00CE19E3">
        <w:rPr>
          <w:rFonts w:ascii="Arial" w:hAnsi="Arial"/>
          <w:sz w:val="20"/>
          <w:szCs w:val="20"/>
        </w:rPr>
        <w:t>: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Представител: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Подпис:_______________________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Име: </w:t>
      </w:r>
    </w:p>
    <w:p w:rsidR="007212DB" w:rsidRPr="00CE19E3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Длъжност: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41301" w:rsidRPr="0094130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Дата:</w:t>
      </w:r>
      <w:r w:rsidR="00BD3FB4" w:rsidRPr="00CE19E3">
        <w:rPr>
          <w:rFonts w:ascii="Arial" w:hAnsi="Arial"/>
          <w:sz w:val="20"/>
          <w:szCs w:val="20"/>
        </w:rPr>
        <w:t xml:space="preserve"> [</w:t>
      </w:r>
      <w:proofErr w:type="spellStart"/>
      <w:r w:rsidR="00BD3FB4">
        <w:rPr>
          <w:rFonts w:ascii="Arial" w:hAnsi="Arial"/>
          <w:sz w:val="20"/>
          <w:szCs w:val="20"/>
        </w:rPr>
        <w:t>дд</w:t>
      </w:r>
      <w:proofErr w:type="spellEnd"/>
      <w:r w:rsidR="00BD3FB4">
        <w:rPr>
          <w:rFonts w:ascii="Arial" w:hAnsi="Arial"/>
          <w:sz w:val="20"/>
          <w:szCs w:val="20"/>
        </w:rPr>
        <w:t>/мм/</w:t>
      </w:r>
      <w:proofErr w:type="spellStart"/>
      <w:r w:rsidR="00BD3FB4">
        <w:rPr>
          <w:rFonts w:ascii="Arial" w:hAnsi="Arial"/>
          <w:sz w:val="20"/>
          <w:szCs w:val="20"/>
        </w:rPr>
        <w:t>гггг</w:t>
      </w:r>
      <w:proofErr w:type="spellEnd"/>
      <w:r w:rsidR="00BD3FB4" w:rsidRPr="00CE19E3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FC" w:rsidRDefault="00A911FC">
      <w:pPr>
        <w:spacing w:before="0" w:after="0" w:line="240" w:lineRule="auto"/>
      </w:pPr>
      <w:r>
        <w:separator/>
      </w:r>
    </w:p>
  </w:endnote>
  <w:endnote w:type="continuationSeparator" w:id="0">
    <w:p w:rsidR="00A911FC" w:rsidRDefault="00A911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84" w:rsidRDefault="00347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347184">
      <w:rPr>
        <w:sz w:val="14"/>
      </w:rPr>
      <w:t>ssm.202004_template_for_management_letter.bg.docx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от </w:t>
    </w:r>
    <w:r>
      <w:fldChar w:fldCharType="begin"/>
    </w:r>
    <w:r>
      <w:instrText xml:space="preserve"> NUMPAGES </w:instrText>
    </w:r>
    <w:r>
      <w:fldChar w:fldCharType="separate"/>
    </w:r>
    <w:r w:rsidR="00347184">
      <w:t>3</w:t>
    </w:r>
    <w:r>
      <w:fldChar w:fldCharType="end"/>
    </w:r>
  </w:p>
  <w:p w:rsidR="00570348" w:rsidRDefault="00570348" w:rsidP="00143A07">
    <w:pPr>
      <w:pStyle w:val="Footer"/>
      <w:jc w:val="both"/>
    </w:pPr>
    <w:r>
      <w:tab/>
      <w:t xml:space="preserve">Последно отпечатване: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347184">
      <w:rPr>
        <w:sz w:val="12"/>
        <w:szCs w:val="12"/>
      </w:rPr>
      <w:t>27.11.2019 г. 11:40:00 ч.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Страница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47184">
      <w:rPr>
        <w:szCs w:val="17"/>
      </w:rPr>
      <w:t>1</w:t>
    </w:r>
    <w:r w:rsidRPr="00D445EB">
      <w:rPr>
        <w:szCs w:val="17"/>
      </w:rPr>
      <w:fldChar w:fldCharType="end"/>
    </w:r>
    <w:r>
      <w:t xml:space="preserve"> от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47184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Страница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47184">
      <w:rPr>
        <w:szCs w:val="17"/>
      </w:rPr>
      <w:t>2</w:t>
    </w:r>
    <w:r w:rsidRPr="00D445EB">
      <w:rPr>
        <w:szCs w:val="17"/>
      </w:rPr>
      <w:fldChar w:fldCharType="end"/>
    </w:r>
    <w:r>
      <w:t xml:space="preserve"> от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47184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FC" w:rsidRDefault="00A911FC">
      <w:pPr>
        <w:spacing w:before="0" w:after="0" w:line="240" w:lineRule="auto"/>
      </w:pPr>
      <w:r>
        <w:separator/>
      </w:r>
    </w:p>
  </w:footnote>
  <w:footnote w:type="continuationSeparator" w:id="0">
    <w:p w:rsidR="00A911FC" w:rsidRDefault="00A911FC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7470">
        <w:rPr>
          <w:lang w:val="en-GB"/>
        </w:rPr>
        <w:tab/>
      </w:r>
      <w:r>
        <w:t xml:space="preserve">Решение </w:t>
      </w:r>
      <w:r w:rsidR="00C13A9F">
        <w:t>(ЕС) 2019/2158</w:t>
      </w:r>
      <w:r>
        <w:t xml:space="preserve"> на Е</w:t>
      </w:r>
      <w:r w:rsidR="00C13A9F">
        <w:t>вропейската централна банка от 5</w:t>
      </w:r>
      <w:r>
        <w:t> декември 2019 г. относно методологията и процедурите за определянето и събирането на данни относно факторите за таксата, използвани за изчисляването на годишните надзорни такси (ЕЦБ/2019/</w:t>
      </w:r>
      <w:r w:rsidR="00002055" w:rsidRPr="00C13A9F">
        <w:t>38</w:t>
      </w:r>
      <w:r>
        <w:t>) (</w:t>
      </w:r>
      <w:r w:rsidR="00C13A9F">
        <w:t xml:space="preserve">ОВ </w:t>
      </w:r>
      <w:r w:rsidR="00C13A9F">
        <w:rPr>
          <w:lang w:val="en-GB"/>
        </w:rPr>
        <w:t>L 327, 17.12.2019 </w:t>
      </w:r>
      <w:r w:rsidR="00C13A9F">
        <w:t>г., стр. 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Датата на </w:t>
      </w:r>
      <w:r w:rsidR="005F320F">
        <w:rPr>
          <w:sz w:val="16"/>
          <w:szCs w:val="16"/>
        </w:rPr>
        <w:t xml:space="preserve">предоставяне </w:t>
      </w:r>
      <w:r>
        <w:rPr>
          <w:sz w:val="16"/>
          <w:szCs w:val="16"/>
        </w:rPr>
        <w:t xml:space="preserve">на информацията, </w:t>
      </w:r>
      <w:r w:rsidR="00002055">
        <w:rPr>
          <w:sz w:val="16"/>
          <w:szCs w:val="16"/>
        </w:rPr>
        <w:t xml:space="preserve">отчитана </w:t>
      </w:r>
      <w:r>
        <w:rPr>
          <w:sz w:val="16"/>
          <w:szCs w:val="16"/>
        </w:rPr>
        <w:t xml:space="preserve">до НКО за </w:t>
      </w:r>
      <w:proofErr w:type="spellStart"/>
      <w:r>
        <w:rPr>
          <w:sz w:val="16"/>
          <w:szCs w:val="16"/>
        </w:rPr>
        <w:t>пруденциални</w:t>
      </w:r>
      <w:proofErr w:type="spellEnd"/>
      <w:r>
        <w:rPr>
          <w:sz w:val="16"/>
          <w:szCs w:val="16"/>
        </w:rPr>
        <w:t xml:space="preserve"> цели, в нейната окончателна версия, включваща стойността на общите активи, която </w:t>
      </w:r>
      <w:r w:rsidR="00002055">
        <w:rPr>
          <w:sz w:val="16"/>
          <w:szCs w:val="16"/>
        </w:rPr>
        <w:t xml:space="preserve">ще </w:t>
      </w:r>
      <w:r>
        <w:rPr>
          <w:sz w:val="16"/>
          <w:szCs w:val="16"/>
        </w:rPr>
        <w:t>се използва за изчисляването на надзорната такса на ЕЦБ.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7D80">
        <w:tab/>
      </w:r>
      <w:r w:rsidR="007B21FD">
        <w:t>Решение (ЕС) 2019/</w:t>
      </w:r>
      <w:r w:rsidR="007B21FD" w:rsidRPr="00CE19E3">
        <w:t>2158</w:t>
      </w:r>
      <w:r>
        <w:t xml:space="preserve"> на Е</w:t>
      </w:r>
      <w:r w:rsidR="007B21FD">
        <w:t xml:space="preserve">вропейската централна банка от </w:t>
      </w:r>
      <w:r w:rsidR="007B21FD" w:rsidRPr="00CE19E3">
        <w:t>5</w:t>
      </w:r>
      <w:r>
        <w:t> декември 2019 г. относно методологията и процедурите за определянето и събирането на данни относно факторите за таксата, използвани за изчисляването на годишните надзорни такси (ЕЦБ/2019/</w:t>
      </w:r>
      <w:r w:rsidR="005A4653">
        <w:t>38</w:t>
      </w:r>
      <w:r>
        <w:t>) (</w:t>
      </w:r>
      <w:r w:rsidR="007B21FD">
        <w:t xml:space="preserve">ОВ </w:t>
      </w:r>
      <w:r w:rsidR="007B21FD">
        <w:rPr>
          <w:lang w:val="en-GB"/>
        </w:rPr>
        <w:t>L</w:t>
      </w:r>
      <w:r w:rsidR="007B21FD" w:rsidRPr="00CE19E3">
        <w:t xml:space="preserve"> 327, 17.12.2019</w:t>
      </w:r>
      <w:r w:rsidR="007B21FD">
        <w:rPr>
          <w:lang w:val="en-GB"/>
        </w:rPr>
        <w:t> </w:t>
      </w:r>
      <w:r w:rsidR="007B21FD">
        <w:t>г., стр. 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7D80">
        <w:tab/>
      </w:r>
      <w:r>
        <w:t>Регламент (ЕС) № 1163/2014 на Европейската централна банка от 22 октомври 2014 г</w:t>
      </w:r>
      <w:r w:rsidR="005A4653">
        <w:t>.</w:t>
      </w:r>
      <w:r>
        <w:t xml:space="preserve"> относно надзорните такси (ЕЦБ/2014/41) (ОВ L 311, 31.10.2014 г., стр.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84" w:rsidRDefault="00347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F2488" w:rsidRDefault="00570348" w:rsidP="00CF2488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22D"/>
    <w:multiLevelType w:val="hybridMultilevel"/>
    <w:tmpl w:val="D1380658"/>
    <w:lvl w:ilvl="0" w:tplc="57585A1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1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6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1"/>
  </w:num>
  <w:num w:numId="5">
    <w:abstractNumId w:val="18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  <w:num w:numId="23">
    <w:abstractNumId w:val="1"/>
  </w:num>
  <w:num w:numId="24">
    <w:abstractNumId w:val="15"/>
  </w:num>
  <w:num w:numId="25">
    <w:abstractNumId w:val="10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0"/>
  </w:num>
  <w:num w:numId="32">
    <w:abstractNumId w:val="4"/>
  </w:num>
  <w:num w:numId="33">
    <w:abstractNumId w:val="11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02055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3174"/>
    <w:rsid w:val="00086CEA"/>
    <w:rsid w:val="00090E1C"/>
    <w:rsid w:val="000A16E1"/>
    <w:rsid w:val="000C32DF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940C9"/>
    <w:rsid w:val="001A29C8"/>
    <w:rsid w:val="001C47C6"/>
    <w:rsid w:val="001E279E"/>
    <w:rsid w:val="001F3701"/>
    <w:rsid w:val="00201470"/>
    <w:rsid w:val="00231031"/>
    <w:rsid w:val="002323F4"/>
    <w:rsid w:val="002461FA"/>
    <w:rsid w:val="002776C8"/>
    <w:rsid w:val="002845A5"/>
    <w:rsid w:val="002B7470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47184"/>
    <w:rsid w:val="00371129"/>
    <w:rsid w:val="003730DD"/>
    <w:rsid w:val="0037402E"/>
    <w:rsid w:val="00374A66"/>
    <w:rsid w:val="00377871"/>
    <w:rsid w:val="003841EC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D6E62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923DE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4653"/>
    <w:rsid w:val="005A7C25"/>
    <w:rsid w:val="005B72B9"/>
    <w:rsid w:val="005D0023"/>
    <w:rsid w:val="005D5049"/>
    <w:rsid w:val="005E7647"/>
    <w:rsid w:val="005F320F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70FA0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1FD"/>
    <w:rsid w:val="007B2D62"/>
    <w:rsid w:val="007B6D49"/>
    <w:rsid w:val="007D1373"/>
    <w:rsid w:val="007D4453"/>
    <w:rsid w:val="007F3FFB"/>
    <w:rsid w:val="007F4A1D"/>
    <w:rsid w:val="00800D10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03E5"/>
    <w:rsid w:val="008B29E1"/>
    <w:rsid w:val="008C45CB"/>
    <w:rsid w:val="008D2EC7"/>
    <w:rsid w:val="008E51E8"/>
    <w:rsid w:val="008E600A"/>
    <w:rsid w:val="008E6A8A"/>
    <w:rsid w:val="008E70A3"/>
    <w:rsid w:val="008F68C8"/>
    <w:rsid w:val="008F7E8E"/>
    <w:rsid w:val="00911ED5"/>
    <w:rsid w:val="009308D0"/>
    <w:rsid w:val="009401D1"/>
    <w:rsid w:val="00941301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77946"/>
    <w:rsid w:val="00A85B7B"/>
    <w:rsid w:val="00A911FC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3FB4"/>
    <w:rsid w:val="00BD6005"/>
    <w:rsid w:val="00BF4EF3"/>
    <w:rsid w:val="00C13A9F"/>
    <w:rsid w:val="00C2726F"/>
    <w:rsid w:val="00C4544E"/>
    <w:rsid w:val="00C67D80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19E3"/>
    <w:rsid w:val="00CE494B"/>
    <w:rsid w:val="00CF2488"/>
    <w:rsid w:val="00D23AA9"/>
    <w:rsid w:val="00D24356"/>
    <w:rsid w:val="00D2531F"/>
    <w:rsid w:val="00D41F7C"/>
    <w:rsid w:val="00D42EE5"/>
    <w:rsid w:val="00D445EB"/>
    <w:rsid w:val="00D54FA5"/>
    <w:rsid w:val="00D550E9"/>
    <w:rsid w:val="00D55477"/>
    <w:rsid w:val="00D57460"/>
    <w:rsid w:val="00DA2410"/>
    <w:rsid w:val="00DA32AE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106A6"/>
    <w:rsid w:val="00E11E5C"/>
    <w:rsid w:val="00E234AA"/>
    <w:rsid w:val="00E27BC5"/>
    <w:rsid w:val="00E32143"/>
    <w:rsid w:val="00E3435A"/>
    <w:rsid w:val="00E366DE"/>
    <w:rsid w:val="00E464AD"/>
    <w:rsid w:val="00E46E94"/>
    <w:rsid w:val="00E47F63"/>
    <w:rsid w:val="00E539EA"/>
    <w:rsid w:val="00E54D6D"/>
    <w:rsid w:val="00E55D21"/>
    <w:rsid w:val="00E6106B"/>
    <w:rsid w:val="00E67544"/>
    <w:rsid w:val="00E813A6"/>
    <w:rsid w:val="00E86002"/>
    <w:rsid w:val="00E93210"/>
    <w:rsid w:val="00E966D8"/>
    <w:rsid w:val="00EA183E"/>
    <w:rsid w:val="00EA7336"/>
    <w:rsid w:val="00EC1971"/>
    <w:rsid w:val="00EC6489"/>
    <w:rsid w:val="00EC6CF5"/>
    <w:rsid w:val="00F0106A"/>
    <w:rsid w:val="00F02A2D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NormalWeb">
    <w:name w:val="Normal (Web)"/>
    <w:basedOn w:val="Normal"/>
    <w:uiPriority w:val="99"/>
    <w:semiHidden/>
    <w:unhideWhenUsed/>
    <w:rsid w:val="00940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01D1"/>
    <w:rPr>
      <w:color w:val="0000FF"/>
      <w:u w:val="single"/>
    </w:rPr>
  </w:style>
  <w:style w:type="paragraph" w:styleId="Revision">
    <w:name w:val="Revision"/>
    <w:hidden/>
    <w:uiPriority w:val="99"/>
    <w:semiHidden/>
    <w:rsid w:val="00E11E5C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NormalWeb">
    <w:name w:val="Normal (Web)"/>
    <w:basedOn w:val="Normal"/>
    <w:uiPriority w:val="99"/>
    <w:semiHidden/>
    <w:unhideWhenUsed/>
    <w:rsid w:val="00940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01D1"/>
    <w:rPr>
      <w:color w:val="0000FF"/>
      <w:u w:val="single"/>
    </w:rPr>
  </w:style>
  <w:style w:type="paragraph" w:styleId="Revision">
    <w:name w:val="Revision"/>
    <w:hidden/>
    <w:uiPriority w:val="99"/>
    <w:semiHidden/>
    <w:rsid w:val="00E11E5C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4E6D-9B8B-419F-B5A1-1AD3FFAE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2020-05-04T09:48:00Z</dcterms:created>
  <dcterms:modified xsi:type="dcterms:W3CDTF">2020-05-04T09:49:00Z</dcterms:modified>
</cp:coreProperties>
</file>