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  <w:bookmarkStart w:id="1" w:name="_GoBack"/>
      <w:bookmarkEnd w:id="1"/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 xml:space="preserve">Vzor </w:t>
      </w:r>
      <w:r w:rsidR="00370C8A">
        <w:rPr>
          <w:b/>
          <w:bCs/>
          <w:sz w:val="24"/>
          <w:szCs w:val="20"/>
        </w:rPr>
        <w:t xml:space="preserve">písomného vyhlásenia </w:t>
      </w:r>
      <w:r>
        <w:rPr>
          <w:b/>
          <w:bCs/>
          <w:sz w:val="24"/>
          <w:szCs w:val="20"/>
        </w:rPr>
        <w:t>riadiaceho orgánu</w:t>
      </w:r>
    </w:p>
    <w:p w:rsidR="00512A63" w:rsidRDefault="00E464AD" w:rsidP="0038667F">
      <w:pPr>
        <w:pStyle w:val="ECBBodyText"/>
        <w:jc w:val="both"/>
      </w:pPr>
      <w:r>
        <w:t xml:space="preserve">Podľa článku 3 ods. 1 písm. b) a článku 3 ods. 3 rozhodnutia Európskej </w:t>
      </w:r>
      <w:r w:rsidR="008A1625">
        <w:t>centrálnej banky (EÚ) 2019/2158 (ECB/2019/</w:t>
      </w:r>
      <w:r w:rsidR="00C949C3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</w:t>
      </w:r>
      <w:r w:rsidR="00370C8A">
        <w:t>celkové aktíva</w:t>
      </w:r>
      <w:r>
        <w:t xml:space="preserve"> pobočiek</w:t>
      </w:r>
      <w:r w:rsidR="00370C8A">
        <w:t>, ktoré</w:t>
      </w:r>
      <w:r>
        <w:t xml:space="preserve"> platia poplatok</w:t>
      </w:r>
      <w:r w:rsidR="00370C8A">
        <w:t>,</w:t>
      </w:r>
      <w:r>
        <w:t xml:space="preserve"> potvrdzuje riadiaci orgán </w:t>
      </w:r>
      <w:r w:rsidR="00370C8A">
        <w:t>prostredníctvom písomného vyhlásenia predloženého</w:t>
      </w:r>
      <w:r>
        <w:t xml:space="preserve"> príslušnému vnútroštátnemu orgánu. V prílohe tohto dokumentu sa nachádza vzor </w:t>
      </w:r>
      <w:r w:rsidR="00370C8A">
        <w:t xml:space="preserve">písomného vyhlásenia </w:t>
      </w:r>
      <w:r>
        <w:t xml:space="preserve">určený pre všetky pobočky platiace poplatok. </w:t>
      </w:r>
    </w:p>
    <w:p w:rsidR="00512A63" w:rsidRDefault="00751084" w:rsidP="0038667F">
      <w:pPr>
        <w:pStyle w:val="ECBBodyText"/>
        <w:jc w:val="both"/>
      </w:pPr>
      <w:r>
        <w:t xml:space="preserve">Písomné vyhlásenie </w:t>
      </w:r>
      <w:r w:rsidR="00512A63">
        <w:t xml:space="preserve">by malo byť riadne podpísané </w:t>
      </w:r>
      <w:r w:rsidR="00370C8A">
        <w:t>vedúcim</w:t>
      </w:r>
      <w:r w:rsidR="00512A63">
        <w:t xml:space="preserve"> pobočky</w:t>
      </w:r>
      <w:r w:rsidR="00370C8A">
        <w:t>, ktorá</w:t>
      </w:r>
      <w:r w:rsidR="00512A63">
        <w:t xml:space="preserve"> </w:t>
      </w:r>
      <w:r w:rsidR="00370C8A">
        <w:t xml:space="preserve">platí </w:t>
      </w:r>
      <w:r w:rsidR="00512A63">
        <w:t>poplatok</w:t>
      </w:r>
      <w:r w:rsidR="004901D8">
        <w:t>,</w:t>
      </w:r>
      <w:r w:rsidR="00512A63">
        <w:t xml:space="preserve"> </w:t>
      </w:r>
      <w:r w:rsidR="00370C8A" w:rsidRPr="0021234B">
        <w:t>alebo</w:t>
      </w:r>
      <w:r w:rsidR="00370C8A">
        <w:t>,</w:t>
      </w:r>
      <w:r w:rsidR="00370C8A" w:rsidRPr="0021234B">
        <w:t xml:space="preserve"> ak vedúci pobočky nie je k dispozícii</w:t>
      </w:r>
      <w:r w:rsidR="00512A63">
        <w:t>, zástupcom riadiaceho orgánu úverovej inštitúcie</w:t>
      </w:r>
      <w:r w:rsidR="00370C8A" w:rsidRPr="0021234B">
        <w:t>, ktorá túto pobočku zriadila</w:t>
      </w:r>
      <w:r w:rsidR="00512A63">
        <w:t>. Pojem „riadiaci orgán“ je vymedzený v č</w:t>
      </w:r>
      <w:r w:rsidR="00C949C3">
        <w:t>lánku 2 rozhodnutia (EÚ) 2019/2158 (ECB/2019/38</w:t>
      </w:r>
      <w:r w:rsidR="00512A63">
        <w:t xml:space="preserve">). </w:t>
      </w:r>
    </w:p>
    <w:p w:rsidR="00D55477" w:rsidRPr="0038667F" w:rsidRDefault="00512A63" w:rsidP="0038667F">
      <w:pPr>
        <w:pStyle w:val="ECBBodyText"/>
        <w:jc w:val="both"/>
      </w:pPr>
      <w:r>
        <w:t xml:space="preserve">Je potrebné poznamenať, že jednotlivé príslušné vnútroštátne orgány môžu vzor </w:t>
      </w:r>
      <w:r w:rsidR="002463A3">
        <w:t xml:space="preserve">písomného vyhlásenia </w:t>
      </w:r>
      <w:r>
        <w:t>prispôsobiť špecifikám svojej jurisdikcie. Príslušné vnútroštátne orgány by mali ECB o zmenách vzoru informovať.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794102" w:rsidRDefault="00794102" w:rsidP="00D55477">
      <w:pPr>
        <w:pStyle w:val="ECBBodyText"/>
      </w:pPr>
    </w:p>
    <w:p w:rsidR="006A19F0" w:rsidRDefault="006A19F0" w:rsidP="00D55477">
      <w:pPr>
        <w:pStyle w:val="ECBBodyText"/>
      </w:pPr>
    </w:p>
    <w:p w:rsidR="00070969" w:rsidRDefault="00070969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 xml:space="preserve">Vzor </w:t>
      </w:r>
      <w:r w:rsidR="002463A3">
        <w:rPr>
          <w:b/>
          <w:bCs/>
          <w:color w:val="0046AC"/>
          <w:sz w:val="22"/>
          <w:szCs w:val="22"/>
        </w:rPr>
        <w:t xml:space="preserve">písomného vyhlásenia </w:t>
      </w:r>
      <w:r>
        <w:rPr>
          <w:b/>
          <w:bCs/>
          <w:color w:val="0046AC"/>
          <w:sz w:val="22"/>
          <w:szCs w:val="22"/>
        </w:rPr>
        <w:t>riadiaceho orgánu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{Názov pobočky</w:t>
      </w:r>
      <w:r w:rsidR="002463A3">
        <w:rPr>
          <w:rFonts w:ascii="Arial" w:hAnsi="Arial"/>
          <w:sz w:val="20"/>
          <w:szCs w:val="20"/>
        </w:rPr>
        <w:t>, ktorá</w:t>
      </w:r>
      <w:r>
        <w:rPr>
          <w:rFonts w:ascii="Arial" w:hAnsi="Arial"/>
          <w:sz w:val="20"/>
          <w:szCs w:val="20"/>
        </w:rPr>
        <w:t xml:space="preserve"> </w:t>
      </w:r>
      <w:r w:rsidR="002463A3">
        <w:rPr>
          <w:rFonts w:ascii="Arial" w:hAnsi="Arial"/>
          <w:sz w:val="20"/>
          <w:szCs w:val="20"/>
        </w:rPr>
        <w:t xml:space="preserve">platí </w:t>
      </w:r>
      <w:r>
        <w:rPr>
          <w:rFonts w:ascii="Arial" w:hAnsi="Arial"/>
          <w:sz w:val="20"/>
          <w:szCs w:val="20"/>
        </w:rPr>
        <w:t>poplatok}</w:t>
      </w: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{Meno kontaktnej osoby}</w:t>
      </w: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{Oddelenie} </w:t>
      </w: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{Adresa a e-mailová adresa}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{Názov príslušného vnútroštátneho orgánu}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{Meno kontaktnej osoby}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{Oddelenie}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{Adresa a e-mailová adresa}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D24BF2" w:rsidRDefault="00D24BF2" w:rsidP="00512A63">
      <w:pPr>
        <w:pStyle w:val="ECBBodyText"/>
        <w:jc w:val="center"/>
        <w:rPr>
          <w:b/>
          <w:bCs/>
          <w:szCs w:val="20"/>
        </w:rPr>
      </w:pPr>
    </w:p>
    <w:p w:rsidR="00EC1971" w:rsidRDefault="002463A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t xml:space="preserve">Písomné vyhlásenie </w:t>
      </w:r>
      <w:r w:rsidR="00EC1971">
        <w:rPr>
          <w:b/>
          <w:bCs/>
          <w:szCs w:val="20"/>
        </w:rPr>
        <w:t xml:space="preserve">riadiaceho orgánu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Predmet: </w:t>
      </w:r>
      <w:r>
        <w:rPr>
          <w:b/>
          <w:bCs/>
          <w:szCs w:val="20"/>
        </w:rPr>
        <w:t>Informácie na výpočet poplatku za dohľad ECB za rok 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2463A3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pobočky</w:t>
            </w:r>
            <w:r w:rsidR="002463A3">
              <w:rPr>
                <w:sz w:val="18"/>
                <w:szCs w:val="18"/>
              </w:rPr>
              <w:t>, ktorá</w:t>
            </w:r>
            <w:r>
              <w:rPr>
                <w:sz w:val="18"/>
                <w:szCs w:val="18"/>
              </w:rPr>
              <w:t xml:space="preserve"> </w:t>
            </w:r>
            <w:r w:rsidR="002463A3">
              <w:rPr>
                <w:sz w:val="18"/>
                <w:szCs w:val="18"/>
              </w:rPr>
              <w:t xml:space="preserve">platí </w:t>
            </w:r>
            <w:r>
              <w:rPr>
                <w:sz w:val="18"/>
                <w:szCs w:val="18"/>
              </w:rPr>
              <w:t>poplatok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[Názov]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2463A3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Identifikačný kód </w:t>
            </w:r>
            <w:r w:rsidR="000D530E">
              <w:rPr>
                <w:rFonts w:ascii="Arial" w:hAnsi="Arial"/>
                <w:sz w:val="18"/>
                <w:szCs w:val="18"/>
              </w:rPr>
              <w:t xml:space="preserve">peňažnej finančnej inštitúcie (PFI):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751084" w:rsidP="00BA1EDC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Písomné vyhlásenie </w:t>
            </w:r>
            <w:r w:rsidR="00B05455">
              <w:rPr>
                <w:sz w:val="18"/>
                <w:szCs w:val="18"/>
              </w:rPr>
              <w:t>je prílohou k: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[Vyberte len jednu možnosť:]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Možnosť 1: informáciám vykázaným na </w:t>
            </w:r>
            <w:proofErr w:type="spellStart"/>
            <w:r>
              <w:rPr>
                <w:sz w:val="18"/>
                <w:szCs w:val="18"/>
              </w:rPr>
              <w:t>prudenciálne</w:t>
            </w:r>
            <w:proofErr w:type="spellEnd"/>
            <w:r w:rsidR="00D24B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účely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6262F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Možnosť 2: informáciám uvedeným vo </w:t>
            </w:r>
            <w:r w:rsidR="006262F7">
              <w:rPr>
                <w:sz w:val="18"/>
                <w:szCs w:val="18"/>
              </w:rPr>
              <w:t>vzore pre</w:t>
            </w:r>
            <w:r>
              <w:rPr>
                <w:sz w:val="18"/>
                <w:szCs w:val="18"/>
              </w:rPr>
              <w:t xml:space="preserve"> vykazovanie faktorov výpočtu poplatku </w:t>
            </w:r>
            <w:r w:rsidR="00D24BF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(príloha II rozhodnutia ECB/2019/XX)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Dátum predloženia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informácií na výpočet poplatku za dohľad: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[dátum, t. j. d/mm/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4901D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Dátum predloženia </w:t>
            </w:r>
            <w:r w:rsidR="006262F7">
              <w:rPr>
                <w:rFonts w:ascii="Arial" w:hAnsi="Arial"/>
                <w:sz w:val="18"/>
                <w:szCs w:val="18"/>
              </w:rPr>
              <w:t xml:space="preserve">písomného vyhlásenia </w:t>
            </w:r>
            <w:r>
              <w:rPr>
                <w:rFonts w:ascii="Arial" w:hAnsi="Arial"/>
                <w:sz w:val="18"/>
                <w:szCs w:val="18"/>
              </w:rPr>
              <w:t>riadiaceho orgánu príslušnému vnútroštátnemu orgánu:</w:t>
            </w:r>
          </w:p>
        </w:tc>
        <w:tc>
          <w:tcPr>
            <w:tcW w:w="4786" w:type="dxa"/>
          </w:tcPr>
          <w:p w:rsidR="00374A66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[dátum, t. j. d/mm/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6262F7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Meno </w:t>
            </w:r>
            <w:r w:rsidR="006262F7">
              <w:rPr>
                <w:rFonts w:ascii="Arial" w:hAnsi="Arial"/>
                <w:sz w:val="18"/>
                <w:szCs w:val="18"/>
              </w:rPr>
              <w:t>vedúceho</w:t>
            </w:r>
            <w:r>
              <w:rPr>
                <w:rFonts w:ascii="Arial" w:hAnsi="Arial"/>
                <w:sz w:val="18"/>
                <w:szCs w:val="18"/>
              </w:rPr>
              <w:t xml:space="preserve"> pobočky</w:t>
            </w:r>
            <w:r w:rsidR="006262F7">
              <w:rPr>
                <w:rFonts w:ascii="Arial" w:hAnsi="Arial"/>
                <w:sz w:val="18"/>
                <w:szCs w:val="18"/>
              </w:rPr>
              <w:t>, ktorá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262F7">
              <w:rPr>
                <w:rFonts w:ascii="Arial" w:hAnsi="Arial"/>
                <w:sz w:val="18"/>
                <w:szCs w:val="18"/>
              </w:rPr>
              <w:t xml:space="preserve">platí </w:t>
            </w:r>
            <w:r>
              <w:rPr>
                <w:rFonts w:ascii="Arial" w:hAnsi="Arial"/>
                <w:sz w:val="18"/>
                <w:szCs w:val="18"/>
              </w:rPr>
              <w:t>poplatok</w:t>
            </w:r>
            <w:r w:rsidR="004901D8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alebo meno zástupcu riadiaceho orgánu, ktorý informácie overil: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[Meno]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Pozícia v rámci inštitúcie: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[Pozícia]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>
        <w:t>[V nasledujúcej časti vyberte relevantný text. Ak ste vybrali možnosť 1, použite text A. Ak ste vybrali možnosť 2, použite text B.]</w:t>
      </w:r>
    </w:p>
    <w:p w:rsid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D24BF2" w:rsidRPr="00EC1971" w:rsidRDefault="00D24BF2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Text A</w:t>
      </w:r>
    </w:p>
    <w:p w:rsidR="006A19F0" w:rsidRDefault="000D530E" w:rsidP="00570348">
      <w:pPr>
        <w:pStyle w:val="ECBBodyText"/>
        <w:jc w:val="both"/>
      </w:pPr>
      <w:r>
        <w:t xml:space="preserve">Týmto potvrdzujem overenie a schválenie konečnej verzie informácií o hodnote celkových aktív na výpočet poplatku za dohľad ECB a skutočnosť, že tieto informácie boli zostavené v súlade s pokynmi </w:t>
      </w:r>
      <w:r>
        <w:lastRenderedPageBreak/>
        <w:t>stanovenými v článku 3 ods. 1 písm. b) rozhodnutia Európskej centrálnej banky (EÚ) 2019/XX (ECB/2019/XX)</w:t>
      </w:r>
      <w:r w:rsidR="008F68C8">
        <w:rPr>
          <w:rStyle w:val="FootnoteReference"/>
        </w:rPr>
        <w:footnoteReference w:id="3"/>
      </w:r>
      <w:r>
        <w:t>.</w:t>
      </w: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Text B</w:t>
      </w:r>
    </w:p>
    <w:p w:rsidR="000D530E" w:rsidRDefault="007A718D" w:rsidP="00570348">
      <w:pPr>
        <w:pStyle w:val="ECBBodyText"/>
        <w:jc w:val="both"/>
      </w:pPr>
      <w:r>
        <w:t>Týmto potvrdzujem použitie postupov a kontrolných mechanizmov potrebných na zabezpečenie súladu extrahovaných a vykázaných informácií s </w:t>
      </w:r>
      <w:r w:rsidR="00BB021D">
        <w:t xml:space="preserve">vymedzením pojmov </w:t>
      </w:r>
      <w:r>
        <w:t>stanoveným v článku 2 nariadenia Európskej centrálnej banky (EÚ) č. 1163/2014 (ECB/2014/41)</w:t>
      </w:r>
      <w:r w:rsidR="008F68C8">
        <w:rPr>
          <w:rStyle w:val="FootnoteReference"/>
        </w:rPr>
        <w:footnoteReference w:id="4"/>
      </w:r>
      <w:r>
        <w:t xml:space="preserve"> a ďalšími pokynmi stanovenými v platných právnych predpisoch. Zároveň potvrdzujem overenie a schválenie konečnej verzie informácií o hodnote celkových aktív na výpočet poplatku za dohľad ECB uvedených vo </w:t>
      </w:r>
      <w:r w:rsidR="00BB021D">
        <w:t xml:space="preserve">vzore </w:t>
      </w:r>
      <w:r>
        <w:t>na vykazovanie faktorov výpočtu poplatku.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[Názov pobočky</w:t>
      </w:r>
      <w:r w:rsidR="00BB021D">
        <w:rPr>
          <w:rFonts w:ascii="Arial" w:hAnsi="Arial"/>
          <w:sz w:val="20"/>
          <w:szCs w:val="20"/>
        </w:rPr>
        <w:t>, ktorá</w:t>
      </w:r>
      <w:r>
        <w:rPr>
          <w:rFonts w:ascii="Arial" w:hAnsi="Arial"/>
          <w:sz w:val="20"/>
          <w:szCs w:val="20"/>
        </w:rPr>
        <w:t xml:space="preserve"> </w:t>
      </w:r>
      <w:r w:rsidR="00BB021D">
        <w:rPr>
          <w:rFonts w:ascii="Arial" w:hAnsi="Arial"/>
          <w:sz w:val="20"/>
          <w:szCs w:val="20"/>
        </w:rPr>
        <w:t xml:space="preserve">platí </w:t>
      </w:r>
      <w:r>
        <w:rPr>
          <w:rFonts w:ascii="Arial" w:hAnsi="Arial"/>
          <w:sz w:val="20"/>
          <w:szCs w:val="20"/>
        </w:rPr>
        <w:t xml:space="preserve">poplatok]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Oprávnený zástupca: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Podpis: _______________________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Meno: </w:t>
      </w: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Funkcia: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6A19F0">
        <w:rPr>
          <w:rFonts w:ascii="Arial" w:hAnsi="Arial"/>
          <w:sz w:val="20"/>
          <w:szCs w:val="20"/>
        </w:rPr>
        <w:tab/>
      </w:r>
      <w:r w:rsidR="006A19F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Dátum: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60" w:rsidRDefault="00B84E60">
      <w:pPr>
        <w:spacing w:before="0" w:after="0" w:line="240" w:lineRule="auto"/>
      </w:pPr>
      <w:r>
        <w:separator/>
      </w:r>
    </w:p>
  </w:endnote>
  <w:endnote w:type="continuationSeparator" w:id="0">
    <w:p w:rsidR="00B84E60" w:rsidRDefault="00B84E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8" w:rsidRDefault="00FD0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D24BF2">
      <w:rPr>
        <w:sz w:val="14"/>
      </w:rPr>
      <w:t>SK Template for Management Letter Sign-off.docx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D24BF2">
      <w:t>3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Posledné vydanie: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D24BF2">
      <w:rPr>
        <w:sz w:val="12"/>
        <w:szCs w:val="12"/>
      </w:rPr>
      <w:t>27. 11. 2019 10:40:00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Strana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FD0698">
      <w:rPr>
        <w:szCs w:val="17"/>
      </w:rPr>
      <w:t>1</w:t>
    </w:r>
    <w:r w:rsidRPr="00D445EB">
      <w:rPr>
        <w:szCs w:val="17"/>
      </w:rPr>
      <w:fldChar w:fldCharType="end"/>
    </w:r>
    <w:r>
      <w:t xml:space="preserve"> z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FD0698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>
      <w:t xml:space="preserve">Strana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FD0698">
      <w:rPr>
        <w:szCs w:val="17"/>
      </w:rPr>
      <w:t>2</w:t>
    </w:r>
    <w:r w:rsidRPr="00D445EB">
      <w:rPr>
        <w:szCs w:val="17"/>
      </w:rPr>
      <w:fldChar w:fldCharType="end"/>
    </w:r>
    <w:r>
      <w:t xml:space="preserve"> z 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FD0698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60" w:rsidRDefault="00B84E60">
      <w:pPr>
        <w:spacing w:before="0" w:after="0" w:line="240" w:lineRule="auto"/>
      </w:pPr>
      <w:r>
        <w:separator/>
      </w:r>
    </w:p>
  </w:footnote>
  <w:footnote w:type="continuationSeparator" w:id="0">
    <w:p w:rsidR="00B84E60" w:rsidRDefault="00B84E60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Rozhodnutie Európskej centrálnej banky (EÚ) 2019/XX z XX. decembra 2019 o metodike a postupoch </w:t>
      </w:r>
      <w:r w:rsidR="002463A3" w:rsidRPr="002463A3">
        <w:t xml:space="preserve">na určenie a zber údajov </w:t>
      </w:r>
      <w:r>
        <w:t xml:space="preserve">týkajúcich sa faktorov výpočtu </w:t>
      </w:r>
      <w:r w:rsidR="002463A3" w:rsidRPr="002463A3">
        <w:t>poplatku, ktoré sa používajú na výpočet</w:t>
      </w:r>
      <w:r w:rsidR="002463A3">
        <w:t xml:space="preserve"> </w:t>
      </w:r>
      <w:r>
        <w:t>ročných poplatkov za dohľad (ECB/2019/XX) (zatiaľ nezverejnené v Úradnom vestníku).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 xml:space="preserve">Dátum odoslania (príslušnému vnútroštátnemu orgánu) konečnej verzie informácií vykázaných na </w:t>
      </w:r>
      <w:proofErr w:type="spellStart"/>
      <w:r>
        <w:t>prudenciálne</w:t>
      </w:r>
      <w:proofErr w:type="spellEnd"/>
      <w:r>
        <w:t xml:space="preserve"> účely vrátane hodnoty celkových aktív na výpočet poplatku za dohľad ECB.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Rozhodnutie Európskej centrálnej banky (EÚ) 2019/XX z XX. decembra 2019 o metodike a postupoch </w:t>
      </w:r>
      <w:r w:rsidR="002463A3" w:rsidRPr="002463A3">
        <w:t>na určenie a zber </w:t>
      </w:r>
      <w:r>
        <w:t xml:space="preserve">údajov týkajúcich sa faktorov výpočtu </w:t>
      </w:r>
      <w:r w:rsidR="002463A3" w:rsidRPr="002463A3">
        <w:t>poplatku, ktoré sa používajú na výpočet </w:t>
      </w:r>
      <w:r>
        <w:t>ročných poplatkov za dohľad (ECB/2019/XX) (zatiaľ nezverejnené v Úradnom vestníku).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Nariadenie Európskej centrálnej banky (EÚ) č. 1163/2014 z 22. októbra 2014 o poplatkoch za dohľad (ECB/2014/41) (Ú. v. EÚ L 311, 31.10.2014, s. 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8" w:rsidRDefault="00FD0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231031">
    <w:pPr>
      <w:pStyle w:val="Header"/>
      <w:spacing w:before="0" w:after="0" w:line="240" w:lineRule="exact"/>
      <w:jc w:val="righ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113279" cy="7924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279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18DE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C47C6"/>
    <w:rsid w:val="001E279E"/>
    <w:rsid w:val="001F3701"/>
    <w:rsid w:val="00201470"/>
    <w:rsid w:val="00231031"/>
    <w:rsid w:val="002323F4"/>
    <w:rsid w:val="002461FA"/>
    <w:rsid w:val="002463A3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70C8A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901D8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262F7"/>
    <w:rsid w:val="006374EC"/>
    <w:rsid w:val="00657023"/>
    <w:rsid w:val="0066365F"/>
    <w:rsid w:val="0066782B"/>
    <w:rsid w:val="00682937"/>
    <w:rsid w:val="00694C66"/>
    <w:rsid w:val="006A19F0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1084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245F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A1625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84E60"/>
    <w:rsid w:val="00B9043D"/>
    <w:rsid w:val="00B92D15"/>
    <w:rsid w:val="00BA1EDC"/>
    <w:rsid w:val="00BB021D"/>
    <w:rsid w:val="00BB0B39"/>
    <w:rsid w:val="00BC51C1"/>
    <w:rsid w:val="00BD20B1"/>
    <w:rsid w:val="00BD6005"/>
    <w:rsid w:val="00BF4EF3"/>
    <w:rsid w:val="00C2726F"/>
    <w:rsid w:val="00C4544E"/>
    <w:rsid w:val="00C70264"/>
    <w:rsid w:val="00C83B5F"/>
    <w:rsid w:val="00C90EE0"/>
    <w:rsid w:val="00C949C3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4BF2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18BF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0698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4901D8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4901D8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8E44-F4BD-4948-AF06-F7ACA430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2020-05-04T13:19:00Z</dcterms:created>
  <dcterms:modified xsi:type="dcterms:W3CDTF">2020-05-04T13:19:00Z</dcterms:modified>
</cp:coreProperties>
</file>