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Predložak dopisa uprave</w:t>
      </w:r>
    </w:p>
    <w:p w:rsidR="00512A63" w:rsidRDefault="00E464AD" w:rsidP="0038667F">
      <w:pPr>
        <w:pStyle w:val="ECBBodyText"/>
        <w:jc w:val="both"/>
      </w:pPr>
      <w:r>
        <w:t>Člankom 3. stavkom 1. točkom (b) i člankom 3</w:t>
      </w:r>
      <w:r w:rsidR="00BC3E47">
        <w:t>. stavkom 3. Odluke (EU) 2019/2158</w:t>
      </w:r>
      <w:r>
        <w:t xml:space="preserve"> Europske središnje </w:t>
      </w:r>
      <w:r w:rsidR="00BC3E47">
        <w:t>banke (ESB/2019/38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od uprave se zahtijeva da u dopisu koji treba dostaviti odgovarajućem nacionalnom nadležnom tijelu potvrdi ukupnu imovinu podružnica koje plaćaju naknadu. Priloženi dokument predložak je spomenutog dopisa uprave i njime se trebaju služiti sve podružnice koje plaćaju naknadu.  </w:t>
      </w:r>
    </w:p>
    <w:p w:rsidR="00512A63" w:rsidRDefault="00512A63" w:rsidP="0038667F">
      <w:pPr>
        <w:pStyle w:val="ECBBodyText"/>
        <w:jc w:val="both"/>
      </w:pPr>
      <w:r>
        <w:t>Dopis uprave potpisuje upravitelj podružnice koja plaća naknadu ili, ako je upravitelj nedostupan, predstavnik upravljačkog tijela kreditne institucije koja je osnivač podružnice koja plaća naknadu. Upravljačko tijelo definirano j</w:t>
      </w:r>
      <w:r w:rsidR="00BC3E47">
        <w:t>e člankom 2. Odluke (EU) 2019/2158 (ESB/2019/38</w:t>
      </w:r>
      <w:r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>Valja napomenuti da pojedinačno nacionalno nadležno tijelo može prilagoditi predložak dopisa uprave određenim posebnim okolnostima u svojoj državi. U slučaju takve prilagodbe nacionalno nadležno tijelo treba o tome obavijestiti ESB.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EF58E1">
      <w:pPr>
        <w:pStyle w:val="Default"/>
        <w:rPr>
          <w:rFonts w:ascii="Arial" w:hAnsi="Arial" w:cs="Sendnya"/>
          <w:color w:val="auto"/>
          <w:sz w:val="20"/>
          <w:szCs w:val="22"/>
        </w:rPr>
      </w:pPr>
    </w:p>
    <w:p w:rsidR="00EF58E1" w:rsidRDefault="00EF58E1" w:rsidP="00EF58E1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7B2003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Predložak dopisa uprave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98522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nazi</w:t>
      </w:r>
      <w:r>
        <w:rPr>
          <w:rFonts w:ascii="Arial" w:hAnsi="Arial"/>
          <w:sz w:val="20"/>
          <w:szCs w:val="20"/>
        </w:rPr>
        <w:t>v podružnice koja plaća naknadu]</w:t>
      </w:r>
    </w:p>
    <w:p w:rsidR="004D487B" w:rsidRDefault="0098522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[ime osobe za kontakt]</w:t>
      </w:r>
    </w:p>
    <w:p w:rsidR="004D487B" w:rsidRPr="00570348" w:rsidRDefault="0098522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[odjel]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98522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[adresa i adresa e-pošte]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98522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naz</w:t>
      </w:r>
      <w:r>
        <w:rPr>
          <w:rFonts w:ascii="Arial" w:hAnsi="Arial"/>
          <w:sz w:val="20"/>
          <w:szCs w:val="20"/>
        </w:rPr>
        <w:t>iv nacionalnog nadležnog tijela]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8522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[ime osobe za kontakt]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8522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[odjel]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98522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[adresa i adresa e-pošte]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Dopis uprave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Predmet: </w:t>
      </w:r>
      <w:r>
        <w:rPr>
          <w:b/>
          <w:bCs/>
          <w:szCs w:val="20"/>
        </w:rPr>
        <w:t>Informacije potrebne za izračun naknade za nadzor ESB</w:t>
      </w:r>
      <w:r>
        <w:rPr>
          <w:b/>
          <w:bCs/>
          <w:szCs w:val="20"/>
        </w:rPr>
        <w:noBreakHyphen/>
        <w:t xml:space="preserve">a za </w:t>
      </w:r>
      <w:r w:rsidR="0098522B">
        <w:rPr>
          <w:b/>
          <w:bCs/>
          <w:szCs w:val="20"/>
        </w:rPr>
        <w:t>[</w:t>
      </w:r>
      <w:r>
        <w:rPr>
          <w:b/>
          <w:bCs/>
          <w:szCs w:val="20"/>
        </w:rPr>
        <w:t>GGGG.</w:t>
      </w:r>
      <w:r w:rsidR="0098522B">
        <w:rPr>
          <w:b/>
          <w:bCs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Naziv podružnice koja plaća naknadu: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[naziv]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Identifikacijska oznaka monetarne financijske institucije (MFI):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Dopis uprave prilaže se:</w:t>
            </w:r>
          </w:p>
        </w:tc>
        <w:tc>
          <w:tcPr>
            <w:tcW w:w="4786" w:type="dxa"/>
            <w:vAlign w:val="center"/>
          </w:tcPr>
          <w:p w:rsidR="00BD6005" w:rsidRPr="00074997" w:rsidRDefault="0090545D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[O</w:t>
            </w:r>
            <w:r w:rsidR="00074997">
              <w:rPr>
                <w:sz w:val="18"/>
                <w:szCs w:val="18"/>
              </w:rPr>
              <w:t>daberite samo jednu mogućnost</w:t>
            </w:r>
            <w:r>
              <w:rPr>
                <w:sz w:val="18"/>
                <w:szCs w:val="18"/>
              </w:rPr>
              <w:t>.</w:t>
            </w:r>
            <w:r w:rsidR="00074997">
              <w:rPr>
                <w:sz w:val="18"/>
                <w:szCs w:val="18"/>
              </w:rPr>
              <w:t>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1) informacijama koje se dostavljaju za bonitetne svrhe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DA571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informacijama koje se dostavljaju na obrascu za </w:t>
            </w:r>
            <w:r w:rsidR="00DA5711" w:rsidRPr="00DA5711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faktore naknade</w:t>
            </w:r>
            <w:r w:rsidR="00DA571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(vi</w:t>
            </w:r>
            <w:r w:rsidR="00DA5711">
              <w:rPr>
                <w:sz w:val="18"/>
                <w:szCs w:val="18"/>
              </w:rPr>
              <w:t>di Prilog II. Odluci ESB/2019/38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Datum dostave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informacija koje će se upotrijebiti za izračun naknade za nadzor: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891ACC" w:rsidP="00DA571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[dd.mm.</w:t>
            </w:r>
            <w:r w:rsidR="00B55624">
              <w:rPr>
                <w:sz w:val="18"/>
                <w:szCs w:val="18"/>
              </w:rPr>
              <w:t>gggg</w:t>
            </w:r>
            <w:r w:rsidR="00E56E7E">
              <w:rPr>
                <w:sz w:val="18"/>
                <w:szCs w:val="18"/>
              </w:rPr>
              <w:t>.</w:t>
            </w:r>
            <w:r w:rsidR="00B55624"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dostave dopisa uprave nacionalnom nadležnom tijelu:</w:t>
            </w:r>
          </w:p>
        </w:tc>
        <w:tc>
          <w:tcPr>
            <w:tcW w:w="4786" w:type="dxa"/>
          </w:tcPr>
          <w:p w:rsidR="00374A66" w:rsidRPr="00074997" w:rsidRDefault="00891ACC" w:rsidP="00DA571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[dd.mm.</w:t>
            </w:r>
            <w:r w:rsidR="00044B75">
              <w:rPr>
                <w:sz w:val="18"/>
                <w:szCs w:val="18"/>
              </w:rPr>
              <w:t>gggg</w:t>
            </w:r>
            <w:r w:rsidR="00E56E7E">
              <w:rPr>
                <w:sz w:val="18"/>
                <w:szCs w:val="18"/>
              </w:rPr>
              <w:t>.</w:t>
            </w:r>
            <w:r w:rsidR="00044B75"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Ime upravitelja podružnice koja plaća naknadu ili ime predstavnika upravljačkog tijela koji potvrđuje valjanost informacija: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[ime]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Položaj u instituciji: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[položaj]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DA5711">
        <w:t>[</w:t>
      </w:r>
      <w:r>
        <w:t>Odaberite odgovarajući tekst u nastavku. Ako ste odabrali prvu mogućnost, morate upotrijebiti tekst A. Ako ste odabrali drugu mogućnost, morate upotrijebiti tekst B.</w:t>
      </w:r>
      <w:r w:rsidRPr="00DA5711"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Tekst A</w:t>
      </w:r>
    </w:p>
    <w:p w:rsidR="000D530E" w:rsidRPr="00570348" w:rsidRDefault="000D530E" w:rsidP="00570348">
      <w:pPr>
        <w:pStyle w:val="ECBBodyText"/>
        <w:jc w:val="both"/>
      </w:pPr>
      <w:r>
        <w:t>Provjerio/provjerila sam i odobrio/odobrila konačnu verziju informacija o vrijednosti ukupne imovine koje će se upotrijebiti za izračun naknade za nadzor ESB</w:t>
      </w:r>
      <w:r>
        <w:noBreakHyphen/>
        <w:t xml:space="preserve">a i ovim potvrđujem da su te informacije sastavljene u skladu s naputcima iz članka 3. stavka </w:t>
      </w:r>
      <w:r w:rsidR="00DA5711">
        <w:t>1. točke (b) Odluke (EU) 2019/2158</w:t>
      </w:r>
      <w:r>
        <w:t xml:space="preserve"> Europ</w:t>
      </w:r>
      <w:r w:rsidR="00DA5711">
        <w:t>ske središnje banke (ESB/2019/38</w:t>
      </w:r>
      <w:r>
        <w:t>)</w:t>
      </w:r>
      <w:r w:rsidR="008F68C8">
        <w:rPr>
          <w:rStyle w:val="FootnoteReference"/>
        </w:rPr>
        <w:footnoteReference w:id="3"/>
      </w:r>
      <w:r>
        <w:t>.</w:t>
      </w:r>
    </w:p>
    <w:p w:rsidR="00EC1971" w:rsidRDefault="00EC1971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Tekst B</w:t>
      </w:r>
    </w:p>
    <w:p w:rsidR="000D530E" w:rsidRDefault="007A718D" w:rsidP="00570348">
      <w:pPr>
        <w:pStyle w:val="ECBBodyText"/>
        <w:jc w:val="both"/>
      </w:pPr>
      <w:r>
        <w:t>Ovim potvrđujem da su upotrijebljeni potrebni postupci i kontrole kojima se osigurava da su izdvojene i dostavljene informacije usklađene s definicijama iz članka 2. Uredbe (EU) br. 1163/2014 Europske središnje banke (ESB/2014/41)</w:t>
      </w:r>
      <w:r w:rsidR="008F68C8">
        <w:rPr>
          <w:rStyle w:val="FootnoteReference"/>
        </w:rPr>
        <w:footnoteReference w:id="4"/>
      </w:r>
      <w:r>
        <w:t xml:space="preserve"> i svim drugim uputama sadržanima u primjenjivom pravu. Provjerio/provjerila sam i odobrio/odobrila konačnu verziju informacija o vrijednosti ukupne imovine u obrascu za faktore naknade, koje će se upotrijebiti za izračun naknade za nadzor ESB</w:t>
      </w:r>
      <w:r>
        <w:noBreakHyphen/>
        <w:t>a.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DA5711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570348">
        <w:rPr>
          <w:rFonts w:ascii="Arial" w:hAnsi="Arial"/>
          <w:sz w:val="20"/>
          <w:szCs w:val="20"/>
        </w:rPr>
        <w:t>aziv podružnice koja plaća naknadu</w:t>
      </w:r>
      <w:r>
        <w:rPr>
          <w:rFonts w:ascii="Arial" w:hAnsi="Arial"/>
          <w:sz w:val="20"/>
          <w:szCs w:val="20"/>
        </w:rPr>
        <w:t>: [XYZ</w:t>
      </w:r>
      <w:r w:rsidR="00570348">
        <w:rPr>
          <w:rFonts w:ascii="Arial" w:hAnsi="Arial"/>
          <w:sz w:val="20"/>
          <w:szCs w:val="20"/>
        </w:rPr>
        <w:t xml:space="preserve">]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Ovlašteni predstavnik: </w:t>
      </w:r>
      <w:r w:rsidR="00DA5711">
        <w:rPr>
          <w:rFonts w:ascii="Arial" w:hAnsi="Arial"/>
          <w:sz w:val="20"/>
          <w:szCs w:val="20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Potpis: </w:t>
      </w:r>
      <w:r w:rsidR="00DA5711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DA5711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Ime: </w:t>
      </w:r>
      <w:r w:rsidR="00DA5711">
        <w:rPr>
          <w:rFonts w:ascii="Arial" w:hAnsi="Arial"/>
          <w:sz w:val="20"/>
          <w:szCs w:val="20"/>
        </w:rPr>
        <w:t>[XYZ]</w:t>
      </w:r>
    </w:p>
    <w:p w:rsidR="007212DB" w:rsidRDefault="00EF58E1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Naslov:</w:t>
      </w:r>
      <w:r>
        <w:rPr>
          <w:rFonts w:ascii="Arial" w:hAnsi="Arial"/>
          <w:sz w:val="20"/>
          <w:szCs w:val="20"/>
        </w:rPr>
        <w:tab/>
      </w:r>
      <w:r w:rsidR="00DA5711">
        <w:rPr>
          <w:rFonts w:ascii="Arial" w:hAnsi="Arial"/>
          <w:sz w:val="20"/>
          <w:szCs w:val="20"/>
        </w:rPr>
        <w:t>[XYZ]</w:t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64296">
        <w:rPr>
          <w:rFonts w:ascii="Arial" w:hAnsi="Arial"/>
          <w:sz w:val="20"/>
          <w:szCs w:val="20"/>
        </w:rPr>
        <w:t>Datum:</w:t>
      </w:r>
      <w:r w:rsidR="00891ACC">
        <w:rPr>
          <w:rFonts w:ascii="Arial" w:hAnsi="Arial"/>
          <w:sz w:val="20"/>
          <w:szCs w:val="20"/>
        </w:rPr>
        <w:t xml:space="preserve"> [dd.mm.</w:t>
      </w:r>
      <w:r w:rsidR="00DA5711">
        <w:rPr>
          <w:rFonts w:ascii="Arial" w:hAnsi="Arial"/>
          <w:sz w:val="20"/>
          <w:szCs w:val="20"/>
        </w:rPr>
        <w:t>gggg</w:t>
      </w:r>
      <w:r w:rsidR="00E56E7E">
        <w:rPr>
          <w:rFonts w:ascii="Arial" w:hAnsi="Arial"/>
          <w:sz w:val="20"/>
          <w:szCs w:val="20"/>
        </w:rPr>
        <w:t>.</w:t>
      </w:r>
      <w:r w:rsidR="00DA5711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6" w:rsidRDefault="00A777A6">
      <w:pPr>
        <w:spacing w:before="0" w:after="0" w:line="240" w:lineRule="auto"/>
      </w:pPr>
      <w:r>
        <w:separator/>
      </w:r>
    </w:p>
  </w:endnote>
  <w:endnote w:type="continuationSeparator" w:id="0">
    <w:p w:rsidR="00A777A6" w:rsidRDefault="00A777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A0" w:rsidRDefault="00380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90545D">
      <w:rPr>
        <w:sz w:val="14"/>
      </w:rPr>
      <w:t>HR Template for Management Letter Sign-off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Stranica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90545D">
      <w:t>3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Prethodni ispis: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90545D">
      <w:rPr>
        <w:sz w:val="12"/>
        <w:szCs w:val="12"/>
      </w:rPr>
      <w:t>27.11.2019.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Stranica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80EA0">
      <w:rPr>
        <w:szCs w:val="17"/>
      </w:rPr>
      <w:t>1</w:t>
    </w:r>
    <w:r w:rsidRPr="00D445EB">
      <w:rPr>
        <w:szCs w:val="17"/>
      </w:rPr>
      <w:fldChar w:fldCharType="end"/>
    </w:r>
    <w:r>
      <w:t xml:space="preserve"> od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80EA0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Stranica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80EA0">
      <w:rPr>
        <w:szCs w:val="17"/>
      </w:rPr>
      <w:t>3</w:t>
    </w:r>
    <w:r w:rsidRPr="00D445EB">
      <w:rPr>
        <w:szCs w:val="17"/>
      </w:rPr>
      <w:fldChar w:fldCharType="end"/>
    </w:r>
    <w:r>
      <w:t xml:space="preserve"> od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80EA0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6" w:rsidRDefault="00A777A6">
      <w:pPr>
        <w:spacing w:before="0" w:after="0" w:line="240" w:lineRule="auto"/>
      </w:pPr>
      <w:r>
        <w:separator/>
      </w:r>
    </w:p>
  </w:footnote>
  <w:footnote w:type="continuationSeparator" w:id="0">
    <w:p w:rsidR="00A777A6" w:rsidRDefault="00A777A6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 w:rsidR="00BC3E47">
        <w:tab/>
        <w:t>Odluka (EU) 2019/2</w:t>
      </w:r>
      <w:r w:rsidR="00E56E7E">
        <w:t xml:space="preserve">158 Europske središnje banke od </w:t>
      </w:r>
      <w:r w:rsidR="00BC3E47">
        <w:t>5.</w:t>
      </w:r>
      <w:r>
        <w:t xml:space="preserve"> prosinca 2019. o metodologiji i postupcima za utvrđivanje i prikupljanje podataka u vezi s faktorima naknade koji se upotrebljavaju za izračun godišnji</w:t>
      </w:r>
      <w:r w:rsidR="00BC3E47">
        <w:t>h naknada za nadzor (ESB/2019/38) (S</w:t>
      </w:r>
      <w:r w:rsidR="00E56E7E">
        <w:t>L L 327, 17.12.2019., str. 99.)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Datum prijenosa nacionalnom nadležnom tijelu konačne verzije informacija koje se dostavljaju za bonitetne svrhe, uključujući informacije o vrijednosti ukupne imovine koje će se upotrijebiti za </w:t>
      </w:r>
      <w:r w:rsidR="00E56E7E">
        <w:t>izračun naknade za nadzor ESB</w:t>
      </w:r>
      <w:r w:rsidR="00E56E7E">
        <w:noBreakHyphen/>
        <w:t>a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BC3E47">
        <w:tab/>
      </w:r>
      <w:r w:rsidR="0098522B">
        <w:t>Odluka (EU) 2019/2158 Europske središnje banke od 5</w:t>
      </w:r>
      <w:r>
        <w:t>. prosinca 2019. o metodologiji i postupcima za utvrđivanje i prikupljanje podataka u vezi s faktorima naknade koji se upotrebljavaju za izračun godišnj</w:t>
      </w:r>
      <w:r w:rsidR="0098522B">
        <w:t>ih naknada za nadzor (ESB/2019/38</w:t>
      </w:r>
      <w:r>
        <w:t>) (</w:t>
      </w:r>
      <w:r w:rsidR="0098522B">
        <w:t>S</w:t>
      </w:r>
      <w:r w:rsidR="00E56E7E">
        <w:t>L L 327, 17.12.2019., str. 99.)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98522B">
        <w:tab/>
      </w:r>
      <w:r>
        <w:t>Uredba (EU) br. 1163/2014 Europske središnje banke od 22. listopada 2014. o naknadama za nadzor (ESB/2014/41) (S</w:t>
      </w:r>
      <w:r w:rsidR="00E56E7E">
        <w:t>L L 311, 31.10.2014., str. 23.)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A0" w:rsidRDefault="00380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231031">
    <w:pPr>
      <w:pStyle w:val="Header"/>
      <w:spacing w:before="0" w:after="0" w:line="240" w:lineRule="exact"/>
      <w:jc w:val="righ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7B2003" w:rsidP="003F5C2C">
    <w:pPr>
      <w:pStyle w:val="Header"/>
    </w:pPr>
    <w:r>
      <w:rPr>
        <w:noProof/>
        <w:lang w:val="en-GB"/>
      </w:rPr>
      <w:drawing>
        <wp:inline distT="0" distB="0" distL="0" distR="0">
          <wp:extent cx="2223770" cy="796925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A6B24"/>
    <w:rsid w:val="001C47C6"/>
    <w:rsid w:val="001E279E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0EA0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25A6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4A05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003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0583"/>
    <w:rsid w:val="00845158"/>
    <w:rsid w:val="00847BA6"/>
    <w:rsid w:val="00863CCA"/>
    <w:rsid w:val="008658B0"/>
    <w:rsid w:val="008659CF"/>
    <w:rsid w:val="00870A94"/>
    <w:rsid w:val="00891ACC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0545D"/>
    <w:rsid w:val="00911ED5"/>
    <w:rsid w:val="009308D0"/>
    <w:rsid w:val="00941CA3"/>
    <w:rsid w:val="00956863"/>
    <w:rsid w:val="0098522B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777A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3E47"/>
    <w:rsid w:val="00BC51C1"/>
    <w:rsid w:val="00BD20B1"/>
    <w:rsid w:val="00BD6005"/>
    <w:rsid w:val="00BF4EF3"/>
    <w:rsid w:val="00C2726F"/>
    <w:rsid w:val="00C3540F"/>
    <w:rsid w:val="00C4544E"/>
    <w:rsid w:val="00C70264"/>
    <w:rsid w:val="00C83B5F"/>
    <w:rsid w:val="00C86D41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A5711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56E7E"/>
    <w:rsid w:val="00E6106B"/>
    <w:rsid w:val="00E67544"/>
    <w:rsid w:val="00E813A6"/>
    <w:rsid w:val="00E93210"/>
    <w:rsid w:val="00E966D8"/>
    <w:rsid w:val="00EA183E"/>
    <w:rsid w:val="00EA7336"/>
    <w:rsid w:val="00EB4567"/>
    <w:rsid w:val="00EC1971"/>
    <w:rsid w:val="00EC6489"/>
    <w:rsid w:val="00EC6CF5"/>
    <w:rsid w:val="00EF58E1"/>
    <w:rsid w:val="00F0106A"/>
    <w:rsid w:val="00F05DB2"/>
    <w:rsid w:val="00F3100F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B4567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B4567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E2DE-CB4C-49A9-B095-504D424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2020-05-04T13:16:00Z</dcterms:created>
  <dcterms:modified xsi:type="dcterms:W3CDTF">2020-05-04T13:16:00Z</dcterms:modified>
</cp:coreProperties>
</file>