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Vzor prohlášení vedení</w:t>
      </w:r>
    </w:p>
    <w:p w:rsidR="00512A63" w:rsidRDefault="00E464AD" w:rsidP="0038667F">
      <w:pPr>
        <w:pStyle w:val="ECBBodyText"/>
        <w:jc w:val="both"/>
      </w:pPr>
      <w:r>
        <w:t>Čl. 3 odst. 1) písm. b) a čl. 3 odst. 3 rozhodnutí (EU) 2019</w:t>
      </w:r>
      <w:r w:rsidR="004A0F4F" w:rsidRPr="004A0F4F">
        <w:t>/</w:t>
      </w:r>
      <w:r w:rsidR="004A0F4F">
        <w:t>2158</w:t>
      </w:r>
      <w:r>
        <w:t xml:space="preserve"> Evropské centrální banky (ECB/2019/</w:t>
      </w:r>
      <w:r w:rsidR="004A0F4F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ukládá vedení, aby osvědčilo celková aktiva </w:t>
      </w:r>
      <w:r w:rsidR="00F13CEF">
        <w:t xml:space="preserve">poboček, které platí poplatek, </w:t>
      </w:r>
      <w:r>
        <w:t xml:space="preserve">předložením prohlášení vedení relevantnímu vnitrostátnímu příslušnému orgánu. Přiložený dokument slouží jako vzor pro uvedené prohlášení vedení, jejž by měly použít všechny pobočky, které platí poplatek.  </w:t>
      </w:r>
    </w:p>
    <w:p w:rsidR="00512A63" w:rsidRDefault="001514C9" w:rsidP="0038667F">
      <w:pPr>
        <w:pStyle w:val="ECBBodyText"/>
        <w:jc w:val="both"/>
      </w:pPr>
      <w:r>
        <w:t xml:space="preserve">Prohlášení vedení by </w:t>
      </w:r>
      <w:r w:rsidR="00512A63">
        <w:t xml:space="preserve">měl řádně podepsat vedoucí pobočky, která platí poplatek, nebo není-li takový vedoucí </w:t>
      </w:r>
      <w:r w:rsidR="00F13CEF">
        <w:t>pobočky</w:t>
      </w:r>
      <w:r w:rsidR="00512A63">
        <w:t xml:space="preserve"> k dispozici, pak zástupce </w:t>
      </w:r>
      <w:r w:rsidR="00F13CEF">
        <w:t>vedoucího</w:t>
      </w:r>
      <w:r w:rsidR="00512A63">
        <w:t xml:space="preserve"> orgánu úvěrové instituce, jež pobočku, která platí poplatek, </w:t>
      </w:r>
      <w:r w:rsidR="00F13CEF">
        <w:t>zřídila</w:t>
      </w:r>
      <w:r w:rsidR="00512A63">
        <w:t xml:space="preserve">. </w:t>
      </w:r>
      <w:r w:rsidR="00F13CEF">
        <w:t>Vedoucí</w:t>
      </w:r>
      <w:r w:rsidR="00512A63">
        <w:t xml:space="preserve"> orgán je vymezen v čl</w:t>
      </w:r>
      <w:r w:rsidR="004A0F4F">
        <w:t>ánku 2 rozhodnutí (EU) 2019/2158</w:t>
      </w:r>
      <w:r w:rsidR="00512A63">
        <w:t xml:space="preserve"> (ECB/2019/</w:t>
      </w:r>
      <w:r w:rsidR="004A0F4F">
        <w:t>38</w:t>
      </w:r>
      <w:r w:rsidR="00512A63"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 xml:space="preserve">Je třeba dodat, že je na zvážení jednotlivých </w:t>
      </w:r>
      <w:r w:rsidR="00BB1EE4" w:rsidRPr="00BB1EE4">
        <w:t>vnitrostátní</w:t>
      </w:r>
      <w:r w:rsidR="00BB1EE4">
        <w:t>ch</w:t>
      </w:r>
      <w:r w:rsidR="00BB1EE4" w:rsidRPr="00BB1EE4">
        <w:t xml:space="preserve"> příslušn</w:t>
      </w:r>
      <w:r w:rsidR="00BB1EE4">
        <w:t>ých orgánů</w:t>
      </w:r>
      <w:r>
        <w:t xml:space="preserve">, zda vzor prohlášení vedení v důsledku určitých specifických okolností v jejich zemi nezmění. V takovém případě by o tom měly </w:t>
      </w:r>
      <w:r w:rsidR="00BB1EE4">
        <w:t>vnitrostátní příslušné orgány</w:t>
      </w:r>
      <w:r>
        <w:t xml:space="preserve"> uvědomit ECB.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3C02DF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Vzor prohlášení vedení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4A0F4F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Náze</w:t>
      </w:r>
      <w:r>
        <w:rPr>
          <w:rFonts w:ascii="Arial" w:hAnsi="Arial"/>
          <w:sz w:val="20"/>
          <w:szCs w:val="20"/>
        </w:rPr>
        <w:t>v pobočky, která platí poplatek]</w:t>
      </w:r>
    </w:p>
    <w:p w:rsidR="004D487B" w:rsidRDefault="004A0F4F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[Jméno kontaktní osoby]</w:t>
      </w:r>
    </w:p>
    <w:p w:rsidR="004D487B" w:rsidRPr="00570348" w:rsidRDefault="004A0F4F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[Oddělení]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4A0F4F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[Adresa a e-mailová adresa]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4A0F4F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Název vnitrost</w:t>
      </w:r>
      <w:r>
        <w:rPr>
          <w:rFonts w:ascii="Arial" w:hAnsi="Arial"/>
          <w:sz w:val="20"/>
          <w:szCs w:val="20"/>
        </w:rPr>
        <w:t>átního příslušného orgánu (NCA)]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4A0F4F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[Jméno kontaktní osoby]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4A0F4F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[Oddělení]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4A0F4F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[Adresa a e-mailová adresa]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4A0F4F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>Proh</w:t>
      </w:r>
      <w:r w:rsidR="00EC1971">
        <w:rPr>
          <w:b/>
          <w:bCs/>
          <w:szCs w:val="20"/>
        </w:rPr>
        <w:t xml:space="preserve">lášení vedení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Předmět: </w:t>
      </w:r>
      <w:r>
        <w:rPr>
          <w:b/>
          <w:bCs/>
          <w:szCs w:val="20"/>
        </w:rPr>
        <w:t xml:space="preserve">Informace pro výpočet poplatku za dohled ECB za rok </w:t>
      </w:r>
      <w:r w:rsidRPr="004A0F4F">
        <w:rPr>
          <w:b/>
          <w:bCs/>
          <w:szCs w:val="20"/>
        </w:rPr>
        <w:t>[YYYY]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pobočky, která platí poplatek: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[Název]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5475B3" w:rsidP="005475B3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Identifikační kód </w:t>
            </w:r>
            <w:r w:rsidR="000D530E">
              <w:rPr>
                <w:rFonts w:ascii="Arial" w:hAnsi="Arial"/>
                <w:sz w:val="18"/>
                <w:szCs w:val="18"/>
              </w:rPr>
              <w:t xml:space="preserve">měnové finanční instituce (MFI):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Prohlášení vedení doprovází: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[Vyberte prosím pouze jednu možnost]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 1: informace předkládané pro obezřetnostní účely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140FAA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 2: informace předkládané v</w:t>
            </w:r>
            <w:r w:rsidR="005475B3">
              <w:rPr>
                <w:sz w:val="18"/>
                <w:szCs w:val="18"/>
              </w:rPr>
              <w:t> </w:t>
            </w:r>
            <w:r w:rsidR="00882622">
              <w:rPr>
                <w:sz w:val="18"/>
                <w:szCs w:val="18"/>
              </w:rPr>
              <w:t>„</w:t>
            </w:r>
            <w:r w:rsidR="005475B3">
              <w:rPr>
                <w:sz w:val="18"/>
                <w:szCs w:val="18"/>
              </w:rPr>
              <w:t>šabloně pro</w:t>
            </w:r>
            <w:r>
              <w:rPr>
                <w:sz w:val="18"/>
                <w:szCs w:val="18"/>
              </w:rPr>
              <w:t xml:space="preserve"> faktor</w:t>
            </w:r>
            <w:r w:rsidR="005475B3">
              <w:rPr>
                <w:sz w:val="18"/>
                <w:szCs w:val="18"/>
              </w:rPr>
              <w:t>y</w:t>
            </w:r>
            <w:r w:rsidR="00882622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pro výpočet poplatků (viz příloha II rozhodnutí ECB/2019/</w:t>
            </w:r>
            <w:r w:rsidR="004A0F4F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Datum podání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informací pro výpočet poplatku za dohled: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4A0F4F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B55624">
              <w:rPr>
                <w:sz w:val="18"/>
                <w:szCs w:val="18"/>
              </w:rPr>
              <w:t>dd</w:t>
            </w:r>
            <w:proofErr w:type="spellEnd"/>
            <w:r w:rsidR="00B55624">
              <w:rPr>
                <w:sz w:val="18"/>
                <w:szCs w:val="18"/>
              </w:rPr>
              <w:t>/mm/</w:t>
            </w:r>
            <w:proofErr w:type="spellStart"/>
            <w:r w:rsidR="00B55624">
              <w:rPr>
                <w:sz w:val="18"/>
                <w:szCs w:val="18"/>
              </w:rPr>
              <w:t>rrrr</w:t>
            </w:r>
            <w:proofErr w:type="spellEnd"/>
            <w:r w:rsidR="00B55624"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Datum, kdy bylo prohlášení vedení předloženo vnitrostátnímu příslušnému orgánu:</w:t>
            </w:r>
          </w:p>
        </w:tc>
        <w:tc>
          <w:tcPr>
            <w:tcW w:w="4786" w:type="dxa"/>
          </w:tcPr>
          <w:p w:rsidR="00374A66" w:rsidRPr="00074997" w:rsidRDefault="008622D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044B75">
              <w:rPr>
                <w:sz w:val="18"/>
                <w:szCs w:val="18"/>
              </w:rPr>
              <w:t>dd</w:t>
            </w:r>
            <w:proofErr w:type="spellEnd"/>
            <w:r w:rsidR="00044B75">
              <w:rPr>
                <w:sz w:val="18"/>
                <w:szCs w:val="18"/>
              </w:rPr>
              <w:t>/mm/</w:t>
            </w:r>
            <w:proofErr w:type="spellStart"/>
            <w:r w:rsidR="00044B75">
              <w:rPr>
                <w:sz w:val="18"/>
                <w:szCs w:val="18"/>
              </w:rPr>
              <w:t>rrrr</w:t>
            </w:r>
            <w:proofErr w:type="spellEnd"/>
            <w:r w:rsidR="00044B75"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5475B3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Jméno </w:t>
            </w:r>
            <w:r w:rsidR="005475B3">
              <w:rPr>
                <w:rFonts w:ascii="Arial" w:hAnsi="Arial"/>
                <w:sz w:val="18"/>
                <w:szCs w:val="18"/>
              </w:rPr>
              <w:t>vedoucího</w:t>
            </w:r>
            <w:r>
              <w:rPr>
                <w:rFonts w:ascii="Arial" w:hAnsi="Arial"/>
                <w:sz w:val="18"/>
                <w:szCs w:val="18"/>
              </w:rPr>
              <w:t xml:space="preserve"> pobočky, která platí poplatek, nebo zástupce </w:t>
            </w:r>
            <w:r w:rsidR="005475B3">
              <w:rPr>
                <w:rFonts w:ascii="Arial" w:hAnsi="Arial"/>
                <w:sz w:val="18"/>
                <w:szCs w:val="18"/>
              </w:rPr>
              <w:t>vedoucího</w:t>
            </w:r>
            <w:r>
              <w:rPr>
                <w:rFonts w:ascii="Arial" w:hAnsi="Arial"/>
                <w:sz w:val="18"/>
                <w:szCs w:val="18"/>
              </w:rPr>
              <w:t xml:space="preserve"> orgánu, kteří ověřili platnost informací: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[Jméno]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Pozice v instituci: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[Pozice]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8622DE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</w:t>
      </w:r>
      <w:r w:rsidR="00074997">
        <w:t>Zvolte prosím odpovídající text níže. Pokud byla vybrána možnost 1, je nutné použít text A. Pokud byla vybrána možnost 2, je nutné použít text B.</w:t>
      </w:r>
      <w:r>
        <w:t>]</w:t>
      </w:r>
    </w:p>
    <w:p w:rsidR="00ED1EA2" w:rsidRDefault="00ED1EA2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Text A</w:t>
      </w:r>
    </w:p>
    <w:p w:rsidR="005D0023" w:rsidRDefault="000D530E" w:rsidP="00570348">
      <w:pPr>
        <w:pStyle w:val="ECBBodyText"/>
        <w:jc w:val="both"/>
      </w:pPr>
      <w:r>
        <w:t>Přezkoumal/a jsem a schválil/a konečné znění informací, pokud jde o hodnotu celkových aktiv určenou k výpočtu poplatku za dohled ECB, a potvrzuji tímto, že tyto informace byly sestaveny v souladu s pokyny uvedenými v čl. 3 odst. 1 písm. b) rozhodnutí (EU) 2019/</w:t>
      </w:r>
      <w:r w:rsidR="008622DE">
        <w:t>2158</w:t>
      </w:r>
      <w:r>
        <w:t xml:space="preserve"> Evropské centrální banky (ECB/2019/</w:t>
      </w:r>
      <w:r w:rsidR="008622DE">
        <w:t>38</w:t>
      </w:r>
      <w:r>
        <w:t>)</w:t>
      </w:r>
      <w:r w:rsidR="008F68C8">
        <w:rPr>
          <w:rStyle w:val="FootnoteReference"/>
        </w:rPr>
        <w:footnoteReference w:id="3"/>
      </w:r>
      <w:r>
        <w:t>.</w:t>
      </w:r>
    </w:p>
    <w:p w:rsidR="00C25202" w:rsidRDefault="00C25202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Text B</w:t>
      </w:r>
    </w:p>
    <w:p w:rsidR="000D530E" w:rsidRDefault="007A718D" w:rsidP="00570348">
      <w:pPr>
        <w:pStyle w:val="ECBBodyText"/>
        <w:jc w:val="both"/>
      </w:pPr>
      <w:r>
        <w:t>Potvrzuji tímto, že byly použity nezbytné postupy a provedeny kontroly k zajištění souladu získaných a oznamovaných informací s definicemi v článku 2 nařízení Evropské centrální banky (EU) č. 1163/2014 (ECB/2014/41)</w:t>
      </w:r>
      <w:r w:rsidR="008F68C8">
        <w:rPr>
          <w:rStyle w:val="FootnoteReference"/>
        </w:rPr>
        <w:footnoteReference w:id="4"/>
      </w:r>
      <w:r>
        <w:t xml:space="preserve"> a všemi dalšími pokyny v platných právních předpisech. Přezkoumal/a jsem a schválil/a konečné znění informací obsažených v šabloně </w:t>
      </w:r>
      <w:r w:rsidR="005475B3">
        <w:t xml:space="preserve">pro </w:t>
      </w:r>
      <w:r>
        <w:t>faktory pro výpočet poplatku, pokud jde o hodnotu celkových aktiv, která má být použita pro výpočet poplatku za dohled ECB.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 pobočky, která platí poplatek</w:t>
      </w:r>
      <w:r w:rsidR="008622DE" w:rsidRPr="00882622">
        <w:rPr>
          <w:rFonts w:ascii="Arial" w:hAnsi="Arial"/>
          <w:sz w:val="20"/>
          <w:szCs w:val="20"/>
        </w:rPr>
        <w:t>; [XYZ</w:t>
      </w:r>
      <w:r>
        <w:rPr>
          <w:rFonts w:ascii="Arial" w:hAnsi="Arial"/>
          <w:sz w:val="20"/>
          <w:szCs w:val="20"/>
        </w:rPr>
        <w:t xml:space="preserve">]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kterou řádně zastupuje: </w:t>
      </w:r>
      <w:r w:rsidR="008622DE">
        <w:rPr>
          <w:rFonts w:ascii="Arial" w:hAnsi="Arial"/>
          <w:sz w:val="20"/>
          <w:szCs w:val="20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Podpis: </w:t>
      </w:r>
      <w:r w:rsidR="008622DE">
        <w:rPr>
          <w:rFonts w:ascii="Arial" w:hAnsi="Arial"/>
          <w:sz w:val="20"/>
          <w:szCs w:val="20"/>
        </w:rPr>
        <w:t>[_______________________]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Jméno: </w:t>
      </w:r>
      <w:r w:rsidR="008622DE">
        <w:rPr>
          <w:rFonts w:ascii="Arial" w:hAnsi="Arial"/>
          <w:sz w:val="20"/>
          <w:szCs w:val="20"/>
        </w:rPr>
        <w:t>[XYZ]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Titul:</w:t>
      </w:r>
      <w:r>
        <w:rPr>
          <w:rFonts w:ascii="Arial" w:hAnsi="Arial"/>
          <w:sz w:val="20"/>
          <w:szCs w:val="20"/>
        </w:rPr>
        <w:tab/>
      </w:r>
      <w:r w:rsidR="008622DE">
        <w:rPr>
          <w:rFonts w:ascii="Arial" w:hAnsi="Arial"/>
          <w:sz w:val="20"/>
          <w:szCs w:val="20"/>
        </w:rPr>
        <w:t>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25202">
        <w:rPr>
          <w:rFonts w:ascii="Arial" w:hAnsi="Arial"/>
          <w:sz w:val="20"/>
          <w:szCs w:val="20"/>
        </w:rPr>
        <w:tab/>
      </w:r>
      <w:r w:rsidR="00C2520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Datum:</w:t>
      </w:r>
      <w:r w:rsidR="008622DE">
        <w:rPr>
          <w:rFonts w:ascii="Arial" w:hAnsi="Arial"/>
          <w:sz w:val="20"/>
          <w:szCs w:val="20"/>
        </w:rPr>
        <w:t xml:space="preserve"> [</w:t>
      </w:r>
      <w:proofErr w:type="spellStart"/>
      <w:r w:rsidR="008622DE">
        <w:rPr>
          <w:rFonts w:ascii="Arial" w:hAnsi="Arial"/>
          <w:sz w:val="20"/>
          <w:szCs w:val="20"/>
        </w:rPr>
        <w:t>dd</w:t>
      </w:r>
      <w:proofErr w:type="spellEnd"/>
      <w:r w:rsidR="008622DE">
        <w:rPr>
          <w:rFonts w:ascii="Arial" w:hAnsi="Arial"/>
          <w:sz w:val="20"/>
          <w:szCs w:val="20"/>
        </w:rPr>
        <w:t>/mm/</w:t>
      </w:r>
      <w:proofErr w:type="spellStart"/>
      <w:r w:rsidR="008622DE">
        <w:rPr>
          <w:rFonts w:ascii="Arial" w:hAnsi="Arial"/>
          <w:sz w:val="20"/>
          <w:szCs w:val="20"/>
        </w:rPr>
        <w:t>rrrr</w:t>
      </w:r>
      <w:proofErr w:type="spellEnd"/>
      <w:r w:rsidR="008622DE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87" w:rsidRDefault="001A1987">
      <w:pPr>
        <w:spacing w:before="0" w:after="0" w:line="240" w:lineRule="auto"/>
      </w:pPr>
      <w:r>
        <w:separator/>
      </w:r>
    </w:p>
  </w:endnote>
  <w:endnote w:type="continuationSeparator" w:id="0">
    <w:p w:rsidR="001A1987" w:rsidRDefault="001A19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27" w:rsidRDefault="006D5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6D5627">
      <w:rPr>
        <w:sz w:val="14"/>
      </w:rPr>
      <w:t>ssm.202004_template_for_management_letter.cs.docx</w:t>
    </w:r>
    <w:r w:rsidRPr="00264109">
      <w:rPr>
        <w:sz w:val="14"/>
      </w:rPr>
      <w:fldChar w:fldCharType="end"/>
    </w:r>
    <w:r>
      <w:rPr>
        <w:sz w:val="14"/>
      </w:rPr>
      <w:tab/>
    </w:r>
    <w:r>
      <w:t>Strana 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z </w:t>
    </w:r>
    <w:r>
      <w:fldChar w:fldCharType="begin"/>
    </w:r>
    <w:r>
      <w:instrText xml:space="preserve"> NUMPAGES </w:instrText>
    </w:r>
    <w:r>
      <w:fldChar w:fldCharType="separate"/>
    </w:r>
    <w:r w:rsidR="006D5627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  <w:t>Naposledy vytištěno</w:t>
    </w:r>
    <w:r>
      <w:rPr>
        <w:sz w:val="12"/>
        <w:szCs w:val="12"/>
      </w:rPr>
      <w:t xml:space="preserve">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6D5627">
      <w:rPr>
        <w:sz w:val="12"/>
        <w:szCs w:val="12"/>
      </w:rPr>
      <w:t>27.11.2019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6D5627">
      <w:rPr>
        <w:szCs w:val="17"/>
      </w:rPr>
      <w:t>1</w:t>
    </w:r>
    <w:r w:rsidRPr="00D445EB">
      <w:rPr>
        <w:szCs w:val="17"/>
      </w:rPr>
      <w:fldChar w:fldCharType="end"/>
    </w:r>
    <w:r>
      <w:t xml:space="preserve"> z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6D5627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6D5627">
      <w:rPr>
        <w:szCs w:val="17"/>
      </w:rPr>
      <w:t>2</w:t>
    </w:r>
    <w:r w:rsidRPr="00D445EB">
      <w:rPr>
        <w:szCs w:val="17"/>
      </w:rPr>
      <w:fldChar w:fldCharType="end"/>
    </w:r>
    <w:r>
      <w:t xml:space="preserve"> z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6D5627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87" w:rsidRDefault="001A1987">
      <w:pPr>
        <w:spacing w:before="0" w:after="0" w:line="240" w:lineRule="auto"/>
      </w:pPr>
      <w:r>
        <w:separator/>
      </w:r>
    </w:p>
  </w:footnote>
  <w:footnote w:type="continuationSeparator" w:id="0">
    <w:p w:rsidR="001A1987" w:rsidRDefault="001A1987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77DD">
        <w:tab/>
      </w:r>
      <w:r>
        <w:t xml:space="preserve">Rozhodnutí </w:t>
      </w:r>
      <w:r w:rsidR="00CE349D">
        <w:t>Evropské centrální banky</w:t>
      </w:r>
      <w:r w:rsidR="004A0F4F">
        <w:t xml:space="preserve"> (EU) 2019/2158</w:t>
      </w:r>
      <w:r>
        <w:t xml:space="preserve"> ze dne </w:t>
      </w:r>
      <w:r w:rsidR="004A0F4F">
        <w:t>5</w:t>
      </w:r>
      <w:r>
        <w:t>. prosince 2019 o metodice a postupech pro stanovení a shromažďování údajů týkajících se faktorů používaných pro výpočet ročních poplatků za dohled (ECB/2019/</w:t>
      </w:r>
      <w:r w:rsidR="004A0F4F">
        <w:t>38</w:t>
      </w:r>
      <w:r>
        <w:t>) (</w:t>
      </w:r>
      <w:proofErr w:type="spellStart"/>
      <w:r w:rsidR="004A0F4F">
        <w:t>Úř</w:t>
      </w:r>
      <w:proofErr w:type="spellEnd"/>
      <w:r w:rsidR="004A0F4F">
        <w:t>. </w:t>
      </w:r>
      <w:proofErr w:type="spellStart"/>
      <w:proofErr w:type="gramStart"/>
      <w:r w:rsidR="004A0F4F">
        <w:t>věst</w:t>
      </w:r>
      <w:proofErr w:type="spellEnd"/>
      <w:proofErr w:type="gramEnd"/>
      <w:r w:rsidR="004A0F4F">
        <w:t xml:space="preserve">. L 327, </w:t>
      </w:r>
      <w:proofErr w:type="gramStart"/>
      <w:r w:rsidR="004A0F4F">
        <w:t>17.12.2019</w:t>
      </w:r>
      <w:proofErr w:type="gramEnd"/>
      <w:r w:rsidR="004A0F4F">
        <w:t>, s. 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Datum předání konečného znění informací pro obezřetnostní účely vnitrostátnímu příslušnému orgánu, včetně hodnoty celkových aktiv, která má být použita pro výpočet poplatku za dohled ECB.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58C6">
        <w:tab/>
      </w:r>
      <w:r>
        <w:t>Rozhodnutí Evro</w:t>
      </w:r>
      <w:r w:rsidR="008622DE">
        <w:t xml:space="preserve">pské centrální banky (EU) 2019/2158 </w:t>
      </w:r>
      <w:r>
        <w:t xml:space="preserve">ze dne </w:t>
      </w:r>
      <w:r w:rsidR="008622DE">
        <w:t>5</w:t>
      </w:r>
      <w:r>
        <w:t>. prosince 2019 o metodice a postupech pro stanovení a shromažďování údajů týkajících se faktorů používaných pro výpočet ročních poplatků za dohled (ECB/2019/</w:t>
      </w:r>
      <w:r w:rsidR="008622DE">
        <w:t>38</w:t>
      </w:r>
      <w:r>
        <w:t>) (</w:t>
      </w:r>
      <w:proofErr w:type="spellStart"/>
      <w:r w:rsidR="008622DE">
        <w:t>Úř</w:t>
      </w:r>
      <w:proofErr w:type="spellEnd"/>
      <w:r w:rsidR="008622DE">
        <w:t>. </w:t>
      </w:r>
      <w:proofErr w:type="spellStart"/>
      <w:proofErr w:type="gramStart"/>
      <w:r w:rsidR="008622DE">
        <w:t>věst</w:t>
      </w:r>
      <w:proofErr w:type="spellEnd"/>
      <w:proofErr w:type="gramEnd"/>
      <w:r w:rsidR="008622DE">
        <w:t xml:space="preserve">. L 327, </w:t>
      </w:r>
      <w:proofErr w:type="gramStart"/>
      <w:r w:rsidR="008622DE">
        <w:t>17.12.2019</w:t>
      </w:r>
      <w:proofErr w:type="gramEnd"/>
      <w:r w:rsidR="008622DE">
        <w:t>, s. 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58C6">
        <w:tab/>
      </w:r>
      <w:r>
        <w:t>Nařízení Evropské centrální banky (EU) č. 1163/2014 ze dne 22. října 2014 o poplatcích za dohled (ECB/2014/41) (</w:t>
      </w:r>
      <w:proofErr w:type="spellStart"/>
      <w:r>
        <w:t>Úř</w:t>
      </w:r>
      <w:proofErr w:type="spellEnd"/>
      <w:r>
        <w:t>. </w:t>
      </w:r>
      <w:proofErr w:type="spellStart"/>
      <w:proofErr w:type="gramStart"/>
      <w:r>
        <w:t>věst</w:t>
      </w:r>
      <w:proofErr w:type="spellEnd"/>
      <w:proofErr w:type="gramEnd"/>
      <w:r>
        <w:t xml:space="preserve">. L 311, </w:t>
      </w:r>
      <w:proofErr w:type="gramStart"/>
      <w:r>
        <w:t>31.10.2014</w:t>
      </w:r>
      <w:proofErr w:type="gramEnd"/>
      <w:r>
        <w:t>, s.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27" w:rsidRDefault="006D5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3C02DF" w:rsidRDefault="00570348" w:rsidP="003C02DF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0FAA"/>
    <w:rsid w:val="00143A07"/>
    <w:rsid w:val="001501B2"/>
    <w:rsid w:val="001514C9"/>
    <w:rsid w:val="001527F1"/>
    <w:rsid w:val="00185851"/>
    <w:rsid w:val="001A1987"/>
    <w:rsid w:val="001A29C8"/>
    <w:rsid w:val="001C47C6"/>
    <w:rsid w:val="001E279E"/>
    <w:rsid w:val="001E4BB3"/>
    <w:rsid w:val="001F3701"/>
    <w:rsid w:val="00201470"/>
    <w:rsid w:val="0023014A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D409B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02DF"/>
    <w:rsid w:val="003C3A30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0F4F"/>
    <w:rsid w:val="004A44B0"/>
    <w:rsid w:val="004A7B60"/>
    <w:rsid w:val="004B023B"/>
    <w:rsid w:val="004B7F4B"/>
    <w:rsid w:val="004D2896"/>
    <w:rsid w:val="004D487B"/>
    <w:rsid w:val="004E368F"/>
    <w:rsid w:val="004F5EC3"/>
    <w:rsid w:val="004F63C9"/>
    <w:rsid w:val="005077DD"/>
    <w:rsid w:val="00510193"/>
    <w:rsid w:val="00512A63"/>
    <w:rsid w:val="00512ED7"/>
    <w:rsid w:val="00516C1C"/>
    <w:rsid w:val="005475B3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D5627"/>
    <w:rsid w:val="006E265F"/>
    <w:rsid w:val="006E4069"/>
    <w:rsid w:val="006E7885"/>
    <w:rsid w:val="006F07E2"/>
    <w:rsid w:val="006F35A7"/>
    <w:rsid w:val="00712036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22DE"/>
    <w:rsid w:val="008658B0"/>
    <w:rsid w:val="008659CF"/>
    <w:rsid w:val="00870A94"/>
    <w:rsid w:val="00872F45"/>
    <w:rsid w:val="00882622"/>
    <w:rsid w:val="008A07CE"/>
    <w:rsid w:val="008B29E1"/>
    <w:rsid w:val="008B58C6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977D5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B1EE4"/>
    <w:rsid w:val="00BC51C1"/>
    <w:rsid w:val="00BD20B1"/>
    <w:rsid w:val="00BD6005"/>
    <w:rsid w:val="00BF4EF3"/>
    <w:rsid w:val="00C25202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349D"/>
    <w:rsid w:val="00CE494B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B4A68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86B9C"/>
    <w:rsid w:val="00E93210"/>
    <w:rsid w:val="00E966D8"/>
    <w:rsid w:val="00EA183E"/>
    <w:rsid w:val="00EA7336"/>
    <w:rsid w:val="00EC1971"/>
    <w:rsid w:val="00EC6489"/>
    <w:rsid w:val="00EC6CF5"/>
    <w:rsid w:val="00ED1EA2"/>
    <w:rsid w:val="00F0106A"/>
    <w:rsid w:val="00F05DB2"/>
    <w:rsid w:val="00F13CEF"/>
    <w:rsid w:val="00F16525"/>
    <w:rsid w:val="00F41923"/>
    <w:rsid w:val="00F41AC4"/>
    <w:rsid w:val="00F44734"/>
    <w:rsid w:val="00F64296"/>
    <w:rsid w:val="00F754E9"/>
    <w:rsid w:val="00F75813"/>
    <w:rsid w:val="00F872CC"/>
    <w:rsid w:val="00F90798"/>
    <w:rsid w:val="00F974C3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DB4A68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DB4A68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E0BC-ABD2-4596-ACDC-DDE579E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2020-05-04T09:50:00Z</dcterms:created>
  <dcterms:modified xsi:type="dcterms:W3CDTF">2020-05-04T09:50:00Z</dcterms:modified>
</cp:coreProperties>
</file>